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>
      <w:pPr>
        <w:pStyle w:val="17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>
      <w:pPr>
        <w:pStyle w:val="17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УТВЕРЖДАЮ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Финансов и кредита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наименование кафедры, отвечающей за реализацию дисциплины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b w:val="0"/>
          <w:sz w:val="24"/>
          <w:szCs w:val="24"/>
        </w:rPr>
        <w:drawing>
          <wp:inline distT="0" distB="0" distL="114300" distR="114300">
            <wp:extent cx="845820" cy="432435"/>
            <wp:effectExtent l="0" t="0" r="11430" b="5715"/>
            <wp:docPr id="3" name="Picture 3" descr="ПодписьЕФ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ПодписьЕФ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4"/>
          <w:szCs w:val="24"/>
        </w:rPr>
        <w:t xml:space="preserve">  Сысоева Е.Ф.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подпись, расшифровка подписи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Б1.О.15 Банковские операции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Код и наименование дисциплины в соответствии с учебным планом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Шифр и наименование </w:t>
      </w:r>
      <w:r>
        <w:rPr>
          <w:rFonts w:ascii="Arial" w:hAnsi="Arial" w:cs="Arial"/>
          <w:b/>
          <w:sz w:val="24"/>
          <w:szCs w:val="24"/>
          <w:u w:val="single"/>
        </w:rPr>
        <w:t>направления подготовки</w:t>
      </w:r>
      <w:r>
        <w:rPr>
          <w:rFonts w:ascii="Arial" w:hAnsi="Arial" w:cs="Arial"/>
          <w:b/>
          <w:sz w:val="24"/>
          <w:szCs w:val="24"/>
        </w:rPr>
        <w:t xml:space="preserve">/специальности: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38.04.08 «Финансы и кредит» </w:t>
      </w:r>
      <w:r>
        <w:rPr>
          <w:rFonts w:ascii="Arial" w:hAnsi="Arial" w:cs="Arial"/>
          <w:b/>
          <w:sz w:val="24"/>
          <w:szCs w:val="24"/>
        </w:rPr>
        <w:t>_____________________________________________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</w:rPr>
        <w:t>Профиль подготовки</w:t>
      </w:r>
      <w:r>
        <w:rPr>
          <w:rFonts w:ascii="Arial" w:hAnsi="Arial" w:cs="Arial"/>
          <w:b/>
          <w:sz w:val="24"/>
          <w:szCs w:val="24"/>
        </w:rPr>
        <w:t xml:space="preserve">/специализация: </w:t>
      </w:r>
      <w:r>
        <w:rPr>
          <w:rFonts w:ascii="Arial" w:hAnsi="Arial" w:cs="Arial"/>
          <w:sz w:val="24"/>
          <w:szCs w:val="24"/>
          <w:u w:val="single"/>
        </w:rPr>
        <w:t>банковское сопровождение контрактов</w:t>
      </w:r>
      <w:r>
        <w:rPr>
          <w:rFonts w:ascii="Arial" w:hAnsi="Arial" w:cs="Arial"/>
          <w:b/>
          <w:sz w:val="24"/>
          <w:szCs w:val="24"/>
        </w:rPr>
        <w:t>___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>
        <w:rPr>
          <w:rFonts w:ascii="Arial" w:hAnsi="Arial" w:cs="Arial"/>
          <w:sz w:val="24"/>
          <w:szCs w:val="24"/>
          <w:u w:val="single"/>
        </w:rPr>
        <w:t>магистр</w:t>
      </w:r>
      <w:r>
        <w:rPr>
          <w:rFonts w:ascii="Arial" w:hAnsi="Arial" w:cs="Arial"/>
          <w:b/>
          <w:sz w:val="24"/>
          <w:szCs w:val="24"/>
        </w:rPr>
        <w:t>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sz w:val="24"/>
          <w:szCs w:val="24"/>
          <w:u w:val="single"/>
        </w:rPr>
        <w:t>очая</w:t>
      </w:r>
      <w:r>
        <w:rPr>
          <w:rFonts w:ascii="Arial" w:hAnsi="Arial" w:cs="Arial"/>
          <w:b/>
          <w:sz w:val="24"/>
          <w:szCs w:val="24"/>
        </w:rPr>
        <w:t>________________________________________________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sz w:val="24"/>
          <w:szCs w:val="24"/>
          <w:u w:val="single"/>
        </w:rPr>
        <w:t>финансов и кредита</w:t>
      </w:r>
      <w:r>
        <w:rPr>
          <w:rFonts w:ascii="Arial" w:hAnsi="Arial" w:cs="Arial"/>
          <w:b/>
          <w:sz w:val="24"/>
          <w:szCs w:val="24"/>
        </w:rPr>
        <w:t>_____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sz w:val="24"/>
          <w:szCs w:val="24"/>
          <w:u w:val="single"/>
        </w:rPr>
        <w:t>доц. Затонских И.Т.</w:t>
      </w:r>
      <w:r>
        <w:rPr>
          <w:rFonts w:ascii="Arial" w:hAnsi="Arial" w:cs="Arial"/>
          <w:b/>
          <w:sz w:val="24"/>
          <w:szCs w:val="24"/>
        </w:rPr>
        <w:t>_____________________________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(ФИО, ученая степень, ученое звание)</w:t>
      </w:r>
      <w:r>
        <w:rPr>
          <w:rFonts w:ascii="Arial" w:hAnsi="Arial" w:cs="Arial"/>
          <w:i/>
        </w:rPr>
        <w:tab/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u w:val="single"/>
        </w:rPr>
        <w:t>НМС экономического факультета</w:t>
      </w:r>
      <w:r>
        <w:rPr>
          <w:rFonts w:ascii="Arial" w:hAnsi="Arial" w:cs="Arial"/>
          <w:bCs/>
          <w:sz w:val="24"/>
          <w:u w:val="single"/>
        </w:rPr>
        <w:t>, 15.04.202</w:t>
      </w:r>
      <w:r>
        <w:rPr>
          <w:rFonts w:ascii="Arial" w:hAnsi="Arial" w:cs="Arial"/>
          <w:bCs/>
          <w:sz w:val="24"/>
          <w:u w:val="single"/>
        </w:rPr>
        <w:t>2</w:t>
      </w:r>
      <w:bookmarkStart w:id="0" w:name="_GoBack"/>
      <w:bookmarkEnd w:id="0"/>
      <w:r>
        <w:rPr>
          <w:rFonts w:ascii="Arial" w:hAnsi="Arial" w:cs="Arial"/>
          <w:bCs/>
          <w:sz w:val="24"/>
          <w:u w:val="single"/>
        </w:rPr>
        <w:t xml:space="preserve"> г., протокол №4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(наименование рекомендующей структуры, дата, номер протокола,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</w:rPr>
      </w:pP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i/>
        </w:rPr>
        <w:t>_________________________________________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отметки о продлении вносятся вручную)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sz w:val="24"/>
          <w:szCs w:val="24"/>
        </w:rPr>
        <w:t xml:space="preserve">_2023-24__________  </w:t>
      </w:r>
      <w:r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>
        <w:rPr>
          <w:rFonts w:ascii="Arial" w:hAnsi="Arial" w:cs="Arial"/>
          <w:sz w:val="24"/>
          <w:szCs w:val="24"/>
        </w:rPr>
        <w:t>_1,2 __________</w:t>
      </w: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Цели и задачи учебной дисциплины:  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0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Цель изучения дисциплины: </w:t>
      </w:r>
      <w:r>
        <w:rPr>
          <w:rFonts w:hint="default" w:ascii="Arial" w:hAnsi="Arial" w:cs="Arial"/>
          <w:sz w:val="24"/>
          <w:szCs w:val="24"/>
        </w:rPr>
        <w:t xml:space="preserve">формирование у обучающихся знаний, умений и навыков в области осуществления банковских операций, в том числе по корпоративному кредитованию, с учетом их рисков, комплексности и взаимозависимости.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00" w:firstLineChars="0"/>
        <w:jc w:val="both"/>
        <w:textAlignment w:val="auto"/>
        <w:outlineLvl w:val="9"/>
        <w:rPr>
          <w:i/>
          <w:iCs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Задачи изучения дисциплины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0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  <w:highlight w:val="none"/>
        </w:rPr>
        <w:t xml:space="preserve">- разработать методологический инструментарий для исследования содержания банковской деятельности по денежно-кредитному обслуживанию клиентов в ходе эволюции банковских систем;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0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сформировать у обучающихся знания о структуре банковских операций по привлечению и размещению кредитных ресурсов, их факторах и условиях (в т. ч. процентной марже) с учётом особенностей корпоративных клиентов;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0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выработать у обучающихся умения выбора и применения способов осуществления банковских операций, методов планирования, прогнозирования и оценки их факторов и результатов, анализа и оценки состояния и перспектив развития видов банковской деятельности, в том числе по кредитованию корпоративных клиентов.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539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>
        <w:rPr>
          <w:rFonts w:ascii="Arial" w:hAnsi="Arial" w:eastAsia="SimSun" w:cs="Arial"/>
          <w:kern w:val="0"/>
          <w:sz w:val="24"/>
          <w:szCs w:val="24"/>
          <w:lang w:val="en-US" w:eastAsia="zh-CN" w:bidi="ar"/>
        </w:rPr>
        <w:t>дисциплина Банковские операции относится к обязательной части блока Б1.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Требования к входным знаниям, умениям и компетенциям: 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 должен знать: 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структуру банковской системы;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функционирования финансовых институтов депозитного, контрактного и инвестиционного типа, их место и роль на финансовом рынке;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двухуровневой банковской системы;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сущность, функции и операции Центрального эмиссионного банка и коммерческих банков.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Студент должен уметь: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использовать информационные технологии для решения исследовательских задач;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систематизировать, обобщать и критически оценивать финансово-экономическую информацию;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Студент должен владеть: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способностью осуществлять сбор, обработку, анализ и систематизацию информации по теме исследования, выбор методов и средств решения задач;</w:t>
      </w:r>
    </w:p>
    <w:p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навыками самостоятельной, творческой работы, анализа и использования различных источников информации для проведения финансово-экономических расчетов.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Дисциплины, для которых данная дисциплина является предшествующей: «Финансовый менеджмент в коммерческом банке», «Антикризисное управление финансами», «Финансовые риски и их страхование». </w:t>
      </w: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Style w:val="25"/>
        <w:tblW w:w="1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13"/>
        <w:gridCol w:w="6492"/>
      </w:tblGrid>
      <w:tr>
        <w:tc>
          <w:tcPr>
            <w:tcW w:w="3929" w:type="dxa"/>
            <w:gridSpan w:val="2"/>
          </w:tcPr>
          <w:p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492" w:type="dxa"/>
            <w:vMerge w:val="restart"/>
          </w:tcPr>
          <w:p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>
        <w:tc>
          <w:tcPr>
            <w:tcW w:w="816" w:type="dxa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13" w:type="dxa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492" w:type="dxa"/>
            <w:vMerge w:val="continue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highlight w:val="none"/>
              </w:rPr>
              <w:t>ОПК-3</w:t>
            </w:r>
          </w:p>
        </w:tc>
        <w:tc>
          <w:tcPr>
            <w:tcW w:w="3113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24"/>
                <w:szCs w:val="24"/>
                <w:lang w:val="ru"/>
              </w:rPr>
            </w:pPr>
            <w:r>
              <w:rPr>
                <w:rFonts w:hint="default" w:ascii="Arial" w:hAnsi="Arial" w:cs="Arial"/>
                <w:b w:val="0"/>
                <w:color w:val="000000"/>
                <w:sz w:val="24"/>
                <w:szCs w:val="24"/>
                <w:lang w:val="ru"/>
              </w:rPr>
              <w:t>Способен обобщать и критически оценивать результаты научных исследований и самостоятельно выполнять исследовательские проекты в области</w:t>
            </w:r>
            <w:r>
              <w:rPr>
                <w:rFonts w:hint="default"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 w:val="0"/>
                <w:color w:val="000000"/>
                <w:sz w:val="24"/>
                <w:szCs w:val="24"/>
                <w:lang w:val="ru"/>
              </w:rPr>
              <w:t>финансов и смежных областях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  </w:t>
            </w:r>
            <w:r>
              <w:rPr>
                <w:rFonts w:ascii="Arial" w:hAnsi="Arial" w:cs="Arial"/>
                <w:sz w:val="24"/>
                <w:szCs w:val="24"/>
              </w:rPr>
              <w:t xml:space="preserve">основные понятия банковской деятельности по обслуживанию клиентуры, особенности организации операций по банковскому обслуживанию клиентов, показатели банковской деятельности </w:t>
            </w:r>
          </w:p>
          <w:p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осуществлять сбор, анализ и обработку данных, характеризующих финансовые показатели деятельности коммерческих банков с целью их использования для решения профессиональных задач по организации пассивных и активных банковских операций и их совершенствованию, 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способностью собрать необходимые данные для анализа состояния и оценки тенденций развития пассивных и активных банковских операций на основе использования результатов научных исследований, 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</w:rPr>
              <w:t>ПК-1</w:t>
            </w:r>
          </w:p>
        </w:tc>
        <w:tc>
          <w:tcPr>
            <w:tcW w:w="3113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color w:val="000000"/>
                <w:kern w:val="0"/>
                <w:sz w:val="24"/>
                <w:szCs w:val="24"/>
                <w:lang w:val="ru" w:eastAsia="zh-CN" w:bidi="ar"/>
              </w:rPr>
              <w:t>Способен управлять процентной политикой банка в части, касающейся корпора-</w:t>
            </w:r>
          </w:p>
          <w:p>
            <w:pPr>
              <w:jc w:val="both"/>
              <w:outlineLvl w:val="1"/>
              <w:rPr>
                <w:rFonts w:ascii="Arial" w:hAnsi="Arial" w:cs="Arial"/>
                <w:bCs/>
                <w:sz w:val="24"/>
              </w:rPr>
            </w:pPr>
            <w:r>
              <w:rPr>
                <w:rFonts w:hint="default" w:ascii="Arial" w:hAnsi="Arial" w:cs="Arial"/>
                <w:b w:val="0"/>
                <w:color w:val="000000"/>
                <w:kern w:val="0"/>
                <w:sz w:val="24"/>
                <w:szCs w:val="24"/>
                <w:lang w:val="ru" w:eastAsia="zh-CN" w:bidi="ar"/>
              </w:rPr>
              <w:t xml:space="preserve">тивного кредитования, и кредитными рисками портфеля кредитных </w:t>
            </w:r>
            <w:r>
              <w:rPr>
                <w:rFonts w:hint="default" w:ascii="Arial" w:hAnsi="Arial" w:cs="Arial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продуктов для корпоративных клиентов</w:t>
            </w:r>
            <w:r>
              <w:rPr>
                <w:rFonts w:hint="default" w:ascii="Arial" w:hAnsi="Arial" w:cs="Arial"/>
                <w:b w:val="0"/>
                <w:color w:val="000000"/>
                <w:kern w:val="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492" w:type="dxa"/>
          </w:tcPr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Arial" w:hAnsi="Arial" w:cs="Arial"/>
                <w:sz w:val="24"/>
                <w:szCs w:val="24"/>
              </w:rPr>
              <w:t xml:space="preserve">финансово-экономические показатели деятельности банка и методы их анализа,  инструменты, виды пассивных и активных кредитных банковских операций по обслуживанию корпоративной клиентуры, соответствующий механизм формирования и использования кредитных ресурсов и продуктов коммерческого банка 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 </w:t>
            </w:r>
            <w:r>
              <w:rPr>
                <w:rFonts w:ascii="Arial" w:hAnsi="Arial" w:cs="Arial"/>
                <w:sz w:val="24"/>
                <w:szCs w:val="24"/>
              </w:rPr>
              <w:t xml:space="preserve">анализировать и оценивать состояние и тенденции развития банковской системы и банковской кредитной деятельности, структуру кредитного портфеля, выявлять существующие проблемы и подходы к их решению  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навыками подготовки информационного обзора и аналитического отчета о состоянии и результатах банковской деятельности по кредитному обслуживанию корпоративных клментов.     </w:t>
            </w:r>
          </w:p>
        </w:tc>
      </w:tr>
      <w:tr>
        <w:tc>
          <w:tcPr>
            <w:tcW w:w="816" w:type="dxa"/>
          </w:tcPr>
          <w:p>
            <w:pPr>
              <w:jc w:val="both"/>
              <w:outlineLvl w:val="1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13" w:type="dxa"/>
          </w:tcPr>
          <w:p>
            <w:pPr>
              <w:jc w:val="both"/>
              <w:outlineLvl w:val="1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492" w:type="dxa"/>
          </w:tcPr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Объем дисциплины в зачетных единицах/час. — </w:t>
      </w:r>
      <w:r>
        <w:rPr>
          <w:rFonts w:ascii="Arial" w:hAnsi="Arial" w:cs="Arial"/>
          <w:b w:val="0"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/216. </w:t>
      </w:r>
    </w:p>
    <w:p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>
        <w:rPr>
          <w:rFonts w:ascii="Arial" w:hAnsi="Arial" w:cs="Arial"/>
          <w:i/>
          <w:u w:val="single"/>
        </w:rPr>
        <w:t>зачет, экзамен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Style w:val="25"/>
        <w:tblW w:w="9503" w:type="dxa"/>
        <w:tblInd w:w="-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1136"/>
        <w:gridCol w:w="1620"/>
        <w:gridCol w:w="1638"/>
        <w:gridCol w:w="1422"/>
      </w:tblGrid>
      <w:tr>
        <w:trPr>
          <w:trHeight w:val="219" w:hRule="atLeast"/>
        </w:trPr>
        <w:tc>
          <w:tcPr>
            <w:tcW w:w="3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>
        <w:trPr>
          <w:trHeight w:val="232" w:hRule="atLeast"/>
        </w:trPr>
        <w:tc>
          <w:tcPr>
            <w:tcW w:w="3687" w:type="dxa"/>
            <w:vMerge w:val="continue"/>
            <w:vAlign w:val="center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>
            <w:pPr>
              <w:pStyle w:val="41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>
        <w:trPr>
          <w:trHeight w:val="535" w:hRule="atLeast"/>
        </w:trPr>
        <w:tc>
          <w:tcPr>
            <w:tcW w:w="3687" w:type="dxa"/>
            <w:vMerge w:val="continue"/>
            <w:vAlign w:val="center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shd w:val="clear" w:color="auto" w:fill="auto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семестра 1</w:t>
            </w:r>
          </w:p>
        </w:tc>
        <w:tc>
          <w:tcPr>
            <w:tcW w:w="1638" w:type="dxa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семестра2</w:t>
            </w:r>
          </w:p>
        </w:tc>
        <w:tc>
          <w:tcPr>
            <w:tcW w:w="1422" w:type="dxa"/>
          </w:tcPr>
          <w:p>
            <w:pPr>
              <w:pStyle w:val="4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41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семестра …</w:t>
            </w:r>
          </w:p>
        </w:tc>
      </w:tr>
      <w:tr>
        <w:trPr>
          <w:trHeight w:val="301" w:hRule="atLeast"/>
        </w:trPr>
        <w:tc>
          <w:tcPr>
            <w:tcW w:w="3687" w:type="dxa"/>
            <w:vAlign w:val="center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0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38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22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92" w:hRule="atLeast"/>
        </w:trPr>
        <w:tc>
          <w:tcPr>
            <w:tcW w:w="3687" w:type="dxa"/>
            <w:vAlign w:val="center"/>
          </w:tcPr>
          <w:p>
            <w:pPr>
              <w:pStyle w:val="4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лекции</w:t>
            </w:r>
          </w:p>
        </w:tc>
        <w:tc>
          <w:tcPr>
            <w:tcW w:w="1136" w:type="dxa"/>
          </w:tcPr>
          <w:p>
            <w:pPr>
              <w:pStyle w:val="4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>
            <w:pPr>
              <w:pStyle w:val="4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8" w:type="dxa"/>
          </w:tcPr>
          <w:p>
            <w:pPr>
              <w:pStyle w:val="4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2" w:type="dxa"/>
          </w:tcPr>
          <w:p>
            <w:pPr>
              <w:pStyle w:val="4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3" w:hRule="atLeast"/>
        </w:trPr>
        <w:tc>
          <w:tcPr>
            <w:tcW w:w="3687" w:type="dxa"/>
            <w:vAlign w:val="center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2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6" w:hRule="atLeast"/>
        </w:trPr>
        <w:tc>
          <w:tcPr>
            <w:tcW w:w="3687" w:type="dxa"/>
            <w:vAlign w:val="center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61" w:hRule="atLeast"/>
        </w:trPr>
        <w:tc>
          <w:tcPr>
            <w:tcW w:w="3687" w:type="dxa"/>
            <w:vAlign w:val="center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620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38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22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61" w:hRule="atLeast"/>
        </w:trPr>
        <w:tc>
          <w:tcPr>
            <w:tcW w:w="3687" w:type="dxa"/>
            <w:vAlign w:val="center"/>
          </w:tcPr>
          <w:p>
            <w:pPr>
              <w:pStyle w:val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>
            <w:pPr>
              <w:pStyle w:val="41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 час.)</w:t>
            </w:r>
          </w:p>
        </w:tc>
        <w:tc>
          <w:tcPr>
            <w:tcW w:w="1136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2" w:type="dxa"/>
          </w:tcPr>
          <w:p>
            <w:pPr>
              <w:pStyle w:val="4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61" w:hRule="atLeast"/>
        </w:trPr>
        <w:tc>
          <w:tcPr>
            <w:tcW w:w="3687" w:type="dxa"/>
            <w:vAlign w:val="center"/>
          </w:tcPr>
          <w:p>
            <w:pPr>
              <w:pStyle w:val="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>
            <w:pPr>
              <w:pStyle w:val="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620" w:type="dxa"/>
          </w:tcPr>
          <w:p>
            <w:pPr>
              <w:pStyle w:val="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38" w:type="dxa"/>
          </w:tcPr>
          <w:p>
            <w:pPr>
              <w:pStyle w:val="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422" w:type="dxa"/>
          </w:tcPr>
          <w:p>
            <w:pPr>
              <w:pStyle w:val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13.1. </w:t>
      </w:r>
      <w:r>
        <w:rPr>
          <w:rFonts w:ascii="Arial" w:hAnsi="Arial" w:cs="Arial"/>
          <w:b/>
          <w:bCs/>
          <w:sz w:val="24"/>
          <w:szCs w:val="24"/>
        </w:rPr>
        <w:t xml:space="preserve">Содержание  дисциплины </w:t>
      </w:r>
    </w:p>
    <w:tbl>
      <w:tblPr>
        <w:tblStyle w:val="25"/>
        <w:tblW w:w="9499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989"/>
        <w:gridCol w:w="5936"/>
      </w:tblGrid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дисциплины: лекции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Ресурсы  и кредитный потенциал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Классификация и эволюция банковских операций.Понятие и структура банковских ресурсов, факторы влияния Пассивные операции КБ, их виды и значение в деятельности банка. Депозитные операции и депозитная политика КБ:  сущность, методы осуществления. Перспективные виды депозитных операций банка. Кредитный потенциал КБ, его структура. Факторы, влияющие на величину кредитного потенциала. 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Кредитные  операции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Понятие кредитных операций банков, их классификация и эволюция. Банковский кредит: принципы, формы, функции. Методы кредитования. Основные этапы кредитного процесса. Документы и порядок оформ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 xml:space="preserve">ления банковского кредита. Заявка на кредит, "кредитное досье" клиента, кредитный договор, срочное обязательство. Кредитный мониторинг. Пролонгация кредита. Особенности возврата кредита (реализация обеспечения, банкротство). Особенности долгосрочного кредитования. Современные и перспективные формы и методы кредитования в РФ и зарубежных банках. 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Кредитоспособность заемщика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Кредитоспособность заемщика как предпосылка предоставления кредита. Понятие кредитоспособности заемщика КБ, связь кредитоспособности, ликвидности, надежности, финансовой устойчивости и платежеспособности. Факторы кредитоспособности. Показатели кредитоспособности, их сущность и порядок расчета, источники информации. Технико-экономическое обоснование кредита как важная составляющая кредитоспособности заемщика.  Рейтинговая оценка кредитоспособности. "Скоринговое" кредитование. Прогноз финансового состояния на срок предоставления кредита, учет экономической конъюнктуры рынка. Роль морально-этических аспектов кредитоспособности заемщика. Современные методы оценки кредитоспособности заемщика в РФ и за рубежом.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Формы обеспечения возвратности кредита, экономическая безопасность и банковские риски.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Формы обеспечения возвратности кредита. Залог, его виды. Способы реализации залога, соотношение доходности и надежности залога. Гарантии и поручительства, их сущность и содержание. Страхование кредитных рисков. Способы страхования. Порядок оформления документов.  Классификация обеспечения возвратности кредита. Резервы в обеспечении возвратности кредита. Риски как фактор банковской деятельности и ее безопасности. Объективные и субъективные условия банковских рисков. Классификация банковских рисков, ее критерии. Содержание и способы регулирования банковских рисков, качественная и количественная оценка</w:t>
            </w:r>
            <w:r>
              <w:rPr>
                <w:sz w:val="22"/>
                <w:szCs w:val="22"/>
              </w:rPr>
              <w:t>.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Операции коммерческого банка с ценными бумагами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Роль и место коммерческого банка на РЦБ. Эмиссия собственных ценных бумаг, цели и задачи.  Организация выпуска акций банка, порядок выплаты дивидендов. Инвестиционная деятельность банков, цели и способы осуществле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 xml:space="preserve">ния. Участие в капитале. Посреднические операции банков с ценными бумагами. Участие в первичном размещении ценных бумаг.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Доверительные операции с ценными бумагами. Депозитарные операции.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Банковские услуги во внешнеэкономической сфере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Порядок организации международной деятельности банков. Лицензирование валютных операций банков. Понятие уполномоченного банка. Валютный рынок и его элементы. Валютный курс, валютная позиция. Основные виды операций в валюте. Валютные счета юридическим и физическим лицам Основные формы международных расчетов. Документарное инкассо, документарный аккредитив, банковские переводы. Контроль банка при осуществлении расчетов в валюте. Распределение валютной выручки. </w:t>
            </w:r>
            <w:r>
              <w:rPr>
                <w:rFonts w:ascii="Arial" w:hAnsi="Arial" w:cs="Arial"/>
                <w:sz w:val="22"/>
                <w:lang w:val="en-US"/>
              </w:rPr>
              <w:t>Валютные риски, формы и методы их страхования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Лизинговые, факторинговые и прочие операции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Расширение небанковских видов деятельности и повышения их роли в формировании доходов банков в современных условиях. Лизинговые операции банков, их основные виды и особенности. Факторинговые операции банков, их механизм. Страховая деятельность банков. Поручительства и выдача гарантий. Ин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 xml:space="preserve">кассация ценностей, сдача в аренду денежных хранилищ, организация хранения ценностей, информационные, справочные, консультативные услуги банков. Операции с драгметаллами, камнями и изделиями из них. Нумизматические операции.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Трастовые операции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Финансовые результаты банковской деятельности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Формирование финансовых результатов деятельности банков. Распределение и использование прибыли. Фонды банка, образуемые за счет прибыли, их назначение и использование. Права акционеров и со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циальные гарантии работников банка. Анализ баланса банка, показателей ликвидности, платежеспособности, финансовой устойчивости, независимости, рентабельности</w:t>
            </w:r>
          </w:p>
        </w:tc>
      </w:tr>
    </w:tbl>
    <w:p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25"/>
        <w:tblW w:w="9499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989"/>
        <w:gridCol w:w="5936"/>
      </w:tblGrid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дисциплины: практические занятия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Ресурсы  и кредитный потенциал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1.Классификация и эволюция банковских операций. 2. Понятие и структура банковских ресурсов, факторы влияния 3.Пассивные операции КБ.4. Депозитные операции 5. Депозитная политика КБ. 6. Перспективные виды депозитных операций банка. 7.Кредитный потенциал КБ, его факторы 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Кредитные  операции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1.Понятие кредитных операций банков, их классификация и эволюция. 2.Банковский кредит: принципы, формы, функции. 3.Методы кредитования. 4.Основные этапы кредитного процесса. 5.Документы и порядок оформ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 xml:space="preserve">ления банковского кредита..6. Особенности возврата кредита (реализация обеспечения, банкротство).7.Особенности долгосрочного кредитования. Современные и перспективные формы и методы кредитования. 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Кредитоспособность заемщика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1.Понятие кредитоспособности заемщика КБ, ее .факторы.2.Показатели кредитоспособности, 3.Технико-экономическое обоснование кредита  4.Рейтинговая оценка кредитоспособности. "Скоринговое" кредитование. 5. Морально-этические аспекты кредитоспособности заемщика. 6.Современные методы оценки кредитоспособности заемщика в РФ и за рубежом.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Формы обеспечения возвратности кредита, экономическая безопасность и банковские риски.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1.Формы обеспечения возвратности кредита. 2.Залог, его виды. 3.Гарантии и поручительства, их сущность и содержание.4. Страхование кредитных рисков. 5.Резервы в обеспечении возвратности кредита. 6.Риски как фактор банковской деятельности. Содержание и способы регулирования банковских рисков, качественная и количественная оценка</w:t>
            </w:r>
            <w:r>
              <w:rPr>
                <w:sz w:val="22"/>
                <w:szCs w:val="22"/>
              </w:rPr>
              <w:t>.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Операции коммерческого банка с ценными бумагами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1.Роль и место коммерческого банка на РЦБ. 2.Эмиссия собственных ценных бумаг, цели и задачи.  3.Инвестиционная деятельность банков, 4.Посреднические операции банков с ценными бумагами.5.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Доверительные операции с ценными бумагами. Депозитарные операции.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Банковские услуги во внешнеэкономической сфере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1.Порядок организации международной деятельности банков. Лицензирование валютных операций банков.2.Валютный рынок и его элементы. Валютный курс, валютная позиция. 3.Основные виды операций в валюте. 4.Валютные счета юридическим и физическим лицам Основные формы международных расчетов. 5.Документарное инкассо, документарный аккредитив, банковские переводы. Контроль банка при осуществлении расчетов в валюте..6.</w:t>
            </w:r>
            <w:r>
              <w:rPr>
                <w:rFonts w:ascii="Arial" w:hAnsi="Arial" w:cs="Arial"/>
                <w:sz w:val="22"/>
                <w:lang w:val="en-US"/>
              </w:rPr>
              <w:t>Валютные риски, формы и методы их страхования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Лизинговые, факторинговые и прочие операции коммерческого банка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1.Лизинговые операции банков, их основные виды и особенности. 2.Факторинговые операции банков. 3.Страховая деятельность банков. 4.Поручительства и выдача гарантий. Ин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кассация ценностей, сдача в аренду денежных хранилищ, организация хранения ценностей, информационные, справочные, консультативные услуги банков. 5.Операции с драгметаллами, камнями и изделиями из них. Нумизматические операции. 6.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Трастовые операции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банков</w:t>
            </w:r>
          </w:p>
        </w:tc>
      </w:tr>
      <w:t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Финансовые результаты банковской деятельности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1.Формирование финансовых результатов деятельности банков. Распределение и использование прибыли. 2.Фонды банка, образуемые за счет прибыли, их назначение и использование..3.Анализ баланса банка, показателей ликвидности, платежеспособности, финансовой устойчивости, независимости, рентабельности</w:t>
            </w:r>
          </w:p>
        </w:tc>
      </w:tr>
    </w:tbl>
    <w:p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13.2. Темы (разделы)</w:t>
      </w:r>
      <w:r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 </w:t>
      </w:r>
    </w:p>
    <w:tbl>
      <w:tblPr>
        <w:tblStyle w:val="25"/>
        <w:tblW w:w="109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535"/>
        <w:gridCol w:w="1257"/>
        <w:gridCol w:w="1263"/>
        <w:gridCol w:w="1186"/>
        <w:gridCol w:w="1276"/>
        <w:gridCol w:w="1925"/>
      </w:tblGrid>
      <w:t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535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6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занятий (часов)</w:t>
            </w:r>
          </w:p>
        </w:tc>
      </w:tr>
      <w:tr>
        <w:tc>
          <w:tcPr>
            <w:tcW w:w="523" w:type="dxa"/>
            <w:vMerge w:val="continue"/>
            <w:tcBorders>
              <w:left w:val="single" w:color="000000" w:sz="4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vMerge w:val="continue"/>
            <w:tcBorders>
              <w:left w:val="single" w:color="000000" w:sz="4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Лекции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Ресурсы  и кредитный потенциал коммерческого банка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Кредитные  операции коммерческого банка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Кредитоспособность заемщика коммерческого банка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Формы обеспечения возвратности кредита, экономическая безопасность и банковские риски.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Операции коммерческого банка с ценными бумагами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Банковские услуги во внешнеэкономической сфере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Лизинговые, факторинговые и прочие операции коммерческого банка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Финансовые результаты банковской деятельности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>
        <w:tc>
          <w:tcPr>
            <w:tcW w:w="523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25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>
      <w:pPr>
        <w:shd w:val="clear" w:color="auto" w:fill="FFFFFF"/>
        <w:tabs>
          <w:tab w:val="left" w:pos="567"/>
          <w:tab w:val="left" w:pos="851"/>
          <w:tab w:val="left" w:pos="993"/>
        </w:tabs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Для достижения цели и задач изучения дисциплины используются такие виды учебной деятельности, как лекции, практические занятия, самостоятельная работа студентов. При этом обучающимся рекомендуется ознакомиться с рекомендуемой основной и дополнительной литературой, а также с периодическими научными изданиями,  </w:t>
      </w:r>
      <w:r>
        <w:rPr>
          <w:rFonts w:ascii="Arial" w:hAnsi="Arial" w:cs="Arial"/>
          <w:bCs/>
          <w:color w:val="000000"/>
          <w:spacing w:val="-8"/>
          <w:sz w:val="24"/>
          <w:szCs w:val="24"/>
        </w:rPr>
        <w:t>включая электронные информационные ресурсы; подготовка к практическим занятиям; выполнение домашних заданий (решение тестов, задач)</w:t>
      </w:r>
      <w:r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написание рефератов, докладов по заданной теме и </w:t>
      </w:r>
      <w:r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эссе, выполнение микроисследований, на основе анализа статистических и аналитических материалов по отдельным разделам дисциплины, а также участие в текущих консультациях, предусмотренных учебным планом, в том числе посредством электронных ресурсов (e-mail, Skype и т.п.); выполнение учебно-исследовательской работы, необходимых для успешного прохождения текущей аттестации. 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i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>
        <w:rPr>
          <w:i/>
        </w:rPr>
        <w:t>(</w:t>
      </w:r>
      <w:r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>
        <w:rPr>
          <w:i/>
        </w:rPr>
        <w:t xml:space="preserve"> </w:t>
      </w:r>
      <w:r>
        <w:rPr>
          <w:rFonts w:ascii="Arial" w:hAnsi="Arial" w:cs="Arial"/>
          <w:i/>
        </w:rPr>
        <w:t>источников)</w:t>
      </w:r>
    </w:p>
    <w:p>
      <w:pPr>
        <w:rPr>
          <w:rStyle w:val="24"/>
          <w:rFonts w:ascii="Arial" w:hAnsi="Arial" w:cs="Arial"/>
          <w:b w:val="0"/>
          <w:iCs/>
        </w:rPr>
      </w:pPr>
      <w:r>
        <w:rPr>
          <w:rStyle w:val="24"/>
          <w:rFonts w:ascii="Arial" w:hAnsi="Arial" w:cs="Arial"/>
          <w:b w:val="0"/>
          <w:iCs/>
        </w:rPr>
        <w:t xml:space="preserve">а) основная литература: </w:t>
      </w:r>
    </w:p>
    <w:tbl>
      <w:tblPr>
        <w:tblStyle w:val="25"/>
        <w:tblW w:w="9875" w:type="dxa"/>
        <w:jc w:val="center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199"/>
        <w:gridCol w:w="9399"/>
      </w:tblGrid>
      <w:tr>
        <w:trPr>
          <w:jc w:val="center"/>
        </w:trPr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>
        <w:trPr>
          <w:trHeight w:val="116" w:hRule="atLeast"/>
          <w:jc w:val="center"/>
        </w:trPr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</w:t>
            </w:r>
          </w:p>
        </w:tc>
        <w:tc>
          <w:tcPr>
            <w:tcW w:w="9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Банковское дело / О.И. Лаврушин .— 11-е изд., стер. — М. : КноРус,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.— </w:t>
            </w:r>
            <w:r>
              <w:rPr>
                <w:rFonts w:ascii="Arial" w:hAnsi="Arial" w:cs="Arial"/>
                <w:sz w:val="18"/>
                <w:szCs w:val="18"/>
              </w:rPr>
              <w:t>632</w:t>
            </w:r>
            <w:r>
              <w:rPr>
                <w:rFonts w:ascii="Arial" w:hAnsi="Arial" w:cs="Arial"/>
                <w:sz w:val="18"/>
                <w:szCs w:val="18"/>
              </w:rPr>
              <w:t xml:space="preserve"> с. — (Бакалавриат) .— ISBN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lang w:val="en-US" w:eastAsia="zh-CN" w:bidi="ar"/>
              </w:rPr>
              <w:t>978-5-406-10408-8</w:t>
            </w:r>
            <w:r>
              <w:rPr>
                <w:rFonts w:ascii="Arial" w:hAnsi="Arial" w:cs="Arial"/>
                <w:sz w:val="18"/>
                <w:szCs w:val="18"/>
              </w:rPr>
              <w:t>— &lt;URL:</w:t>
            </w:r>
            <w:r>
              <w:fldChar w:fldCharType="begin"/>
            </w:r>
            <w:r>
              <w:instrText xml:space="preserve"> HYPERLINK "http://biblioclub.ru/index.php?page=book&amp;id=252683" </w:instrText>
            </w:r>
            <w:r>
              <w:fldChar w:fldCharType="separate"/>
            </w:r>
            <w:r>
              <w:rPr>
                <w:rFonts w:ascii="Arial" w:hAnsi="Arial" w:cs="Arial"/>
                <w:color w:val="000080"/>
                <w:sz w:val="18"/>
                <w:szCs w:val="18"/>
                <w:u w:val="single"/>
              </w:rPr>
              <w:t>http://biblioclub.ru/index.php?page=book&amp;id=252683</w:t>
            </w:r>
            <w:r>
              <w:rPr>
                <w:rFonts w:ascii="Arial" w:hAnsi="Arial" w:cs="Arial"/>
                <w:color w:val="000080"/>
                <w:sz w:val="18"/>
                <w:szCs w:val="18"/>
                <w:u w:val="single"/>
              </w:rPr>
              <w:fldChar w:fldCharType="end"/>
            </w:r>
            <w:r>
              <w:t>.</w:t>
            </w:r>
          </w:p>
        </w:tc>
      </w:tr>
      <w:tr>
        <w:trPr>
          <w:trHeight w:val="116" w:hRule="atLeast"/>
          <w:jc w:val="center"/>
        </w:trPr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</w:t>
            </w:r>
          </w:p>
        </w:tc>
        <w:tc>
          <w:tcPr>
            <w:tcW w:w="9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 xml:space="preserve">Шитов, Владимир Николаевич. Ш 64 </w:t>
            </w:r>
            <w:r>
              <w:rPr>
                <w:rFonts w:hint="default" w:ascii="Arial" w:hAnsi="Arial" w:eastAsia="SimSun" w:cs="Arial"/>
                <w:b/>
                <w:kern w:val="0"/>
                <w:sz w:val="18"/>
                <w:szCs w:val="18"/>
                <w:lang w:val="en-US" w:eastAsia="zh-CN" w:bidi="ar"/>
              </w:rPr>
              <w:t>Банковское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b/>
                <w:kern w:val="0"/>
                <w:sz w:val="18"/>
                <w:szCs w:val="18"/>
                <w:lang w:val="en-US" w:eastAsia="zh-CN" w:bidi="ar"/>
              </w:rPr>
              <w:t>дело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 xml:space="preserve">: учебное пособие / В. Н. Шитов. – Ульяновск: УлГТУ, 2022. – 126 с. ISBN 978-5-9795-2202-9. </w:t>
            </w:r>
          </w:p>
        </w:tc>
      </w:tr>
      <w:tr>
        <w:trPr>
          <w:trHeight w:val="116" w:hRule="atLeast"/>
          <w:jc w:val="center"/>
        </w:trPr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</w:p>
        </w:tc>
        <w:tc>
          <w:tcPr>
            <w:tcW w:w="9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116" w:hRule="atLeast"/>
          <w:jc w:val="center"/>
        </w:trPr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</w:p>
        </w:tc>
        <w:tc>
          <w:tcPr>
            <w:tcW w:w="9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rPr>
          <w:rStyle w:val="24"/>
          <w:rFonts w:ascii="Arial" w:hAnsi="Arial" w:cs="Arial"/>
          <w:b w:val="0"/>
          <w:iCs/>
        </w:rPr>
      </w:pPr>
    </w:p>
    <w:p>
      <w:pPr>
        <w:rPr>
          <w:rStyle w:val="24"/>
          <w:rFonts w:ascii="Arial" w:hAnsi="Arial" w:cs="Arial"/>
          <w:b w:val="0"/>
          <w:iCs/>
        </w:rPr>
      </w:pPr>
    </w:p>
    <w:p>
      <w:pPr>
        <w:rPr>
          <w:rStyle w:val="24"/>
          <w:rFonts w:ascii="Arial" w:hAnsi="Arial" w:cs="Arial"/>
          <w:b w:val="0"/>
          <w:iCs/>
        </w:rPr>
      </w:pPr>
      <w:r>
        <w:rPr>
          <w:rStyle w:val="24"/>
          <w:rFonts w:ascii="Arial" w:hAnsi="Arial" w:cs="Arial"/>
          <w:b w:val="0"/>
          <w:iCs/>
        </w:rPr>
        <w:t xml:space="preserve">б) дополнительная литература: </w:t>
      </w:r>
    </w:p>
    <w:tbl>
      <w:tblPr>
        <w:tblStyle w:val="25"/>
        <w:tblW w:w="9897" w:type="dxa"/>
        <w:jc w:val="center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1"/>
        <w:gridCol w:w="9178"/>
      </w:tblGrid>
      <w:tr>
        <w:trPr>
          <w:jc w:val="center"/>
        </w:trPr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3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>
        <w:trPr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eastAsia="zh-CN" w:bidi="ar"/>
              </w:rPr>
              <w:t>Банковское дело /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Тавасиев, А. М. </w:t>
            </w:r>
            <w:r>
              <w:rPr>
                <w:rFonts w:hint="default" w:ascii="Times New Roman" w:hAnsi="Times New Roman" w:eastAsia="SimSun" w:cs="Times New Roman"/>
                <w:b/>
                <w:kern w:val="0"/>
                <w:sz w:val="18"/>
                <w:szCs w:val="18"/>
                <w:lang w:val="en-US" w:eastAsia="zh-CN" w:bidi="ar"/>
              </w:rPr>
              <w:t>Банковское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kern w:val="0"/>
                <w:sz w:val="18"/>
                <w:szCs w:val="18"/>
                <w:lang w:val="en-US" w:eastAsia="zh-CN" w:bidi="ar"/>
              </w:rPr>
              <w:t>дело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 : </w:t>
            </w:r>
            <w:r>
              <w:rPr>
                <w:rFonts w:hint="default" w:ascii="Times New Roman" w:hAnsi="Times New Roman" w:eastAsia="SimSun" w:cs="Times New Roman"/>
                <w:b/>
                <w:kern w:val="0"/>
                <w:sz w:val="18"/>
                <w:szCs w:val="18"/>
                <w:lang w:val="en-US" w:eastAsia="zh-CN" w:bidi="ar"/>
              </w:rPr>
              <w:t>учебник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 для вузов / А. М. Тавасиев. — 4-е изд., перераб. и доп. — Москва : Издательство Юрайт, 2023. ... </w:t>
            </w:r>
            <w:r>
              <w:rPr>
                <w:rFonts w:hint="default" w:ascii="Times New Roman" w:hAnsi="Times New Roman" w:eastAsia="SimSun" w:cs="Times New Roman"/>
                <w:b/>
                <w:kern w:val="0"/>
                <w:sz w:val="18"/>
                <w:szCs w:val="18"/>
                <w:lang w:val="en-US" w:eastAsia="zh-CN" w:bidi="ar"/>
              </w:rPr>
              <w:t>Банковское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kern w:val="0"/>
                <w:sz w:val="18"/>
                <w:szCs w:val="18"/>
                <w:lang w:val="en-US" w:eastAsia="zh-CN" w:bidi="ar"/>
              </w:rPr>
              <w:t>дело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 : </w:t>
            </w:r>
            <w:r>
              <w:rPr>
                <w:rFonts w:hint="default" w:ascii="Times New Roman" w:hAnsi="Times New Roman" w:eastAsia="SimSun" w:cs="Times New Roman"/>
                <w:b/>
                <w:kern w:val="0"/>
                <w:sz w:val="18"/>
                <w:szCs w:val="18"/>
                <w:lang w:val="en-US" w:eastAsia="zh-CN" w:bidi="ar"/>
              </w:rPr>
              <w:t>учебник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 для вузов / Н. Н. Мартыненко, О. М. Маркова, О. С. Рудакова, Н. В. Сергеева ; под редакцией Н. Н. Мартыненко. — 3-е изд., испр. и доп. — Москва : Издательство Юрайт, 2023. 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eastAsia="zh-CN" w:bidi="ar"/>
              </w:rPr>
              <w:t xml:space="preserve">Банковское дело / Коробова Г. Н. Банковское дело: учебник для вузов. ВО - Бакалавриат/Г. Н. Коробова - Москва: Издательство Магистр, 2023. - 592 с. -   </w:t>
            </w:r>
            <w:r>
              <w:rPr>
                <w:rFonts w:hint="default" w:ascii="Times New Roman" w:hAnsi="Times New Roman" w:eastAsia="SimSun" w:cs="Times New Roman"/>
                <w:kern w:val="0"/>
                <w:sz w:val="18"/>
                <w:szCs w:val="18"/>
                <w:lang w:val="en-US" w:eastAsia="zh-CN" w:bidi="ar"/>
              </w:rPr>
              <w:t xml:space="preserve">SBN: 978-5-9776-0109-2 </w:t>
            </w:r>
          </w:p>
        </w:tc>
      </w:tr>
      <w:tr>
        <w:trPr>
          <w:trHeight w:val="116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5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0"/>
              <w:rPr>
                <w:rFonts w:hint="default" w:ascii="Times New Roman" w:hAnsi="Times New Roman" w:cs="Times New Roman"/>
                <w:i w:val="0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i w:val="0"/>
                <w:szCs w:val="18"/>
              </w:rPr>
              <w:t>Банки и банковское дело: Учебное пособие / Под ред. И. Т. Балабанова. – СПб.: Питер, 20</w:t>
            </w:r>
            <w:r>
              <w:rPr>
                <w:rFonts w:hint="default" w:ascii="Times New Roman" w:hAnsi="Times New Roman" w:cs="Times New Roman"/>
                <w:i w:val="0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szCs w:val="18"/>
              </w:rPr>
              <w:t>0. – 26</w:t>
            </w:r>
            <w:r>
              <w:rPr>
                <w:rFonts w:hint="default" w:ascii="Times New Roman" w:hAnsi="Times New Roman" w:cs="Times New Roman"/>
                <w:i w:val="0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szCs w:val="18"/>
              </w:rPr>
              <w:t xml:space="preserve"> с.</w:t>
            </w:r>
          </w:p>
        </w:tc>
      </w:tr>
      <w:tr>
        <w:trPr>
          <w:trHeight w:val="367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6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Банки на развивающихся рынках: в 2-х т. /Д. Мак Нотон, Д. Дж. Карлсон. – М.: Финансы и статистика, 1998.  </w:t>
            </w:r>
          </w:p>
        </w:tc>
      </w:tr>
      <w:tr>
        <w:trPr>
          <w:trHeight w:val="116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7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Банковская система России: настольная книга банкира: в 3-х кн./ Под ред. А. Г. Грязновой, А. В. Молчанова и др. – М.: ДеКА, 1995.  </w:t>
            </w:r>
          </w:p>
        </w:tc>
      </w:tr>
      <w:tr>
        <w:trPr>
          <w:trHeight w:val="116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8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Банковский портфель: в 3-х т. / Отв. Ред. Ю. И. Коробов, Ю. Б. Рубин, В. И. Солдаткин. – М.: Соминтек, 1994 – 1995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9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Банковское дело: управление и технологии: Учебное пособие для вузов /Под ред. </w:t>
            </w:r>
            <w:r>
              <w:rPr>
                <w:sz w:val="18"/>
                <w:szCs w:val="18"/>
                <w:lang w:val="en-US"/>
              </w:rPr>
              <w:t>А. М. Тавасиева. –М.: ЮНИТИ-ДАНА, 2001. – 863с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10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"http://www.lib.vsu.ru/cgi-bin/zgate?ACTION=follow&amp;SESSION_ID=16144&amp;TERM=%D0%91%D1%83%D0%BA%D0%B0%D1%82%D0%BE,%20%D0%92%D0%B8%D0%BA%D1%82%D0%BE%D1%80%20%D0%98%D0%B2%D0%B0%D0%BD%D0%BE%D0%B2%D0%B8%D1%87%5B1,1004,4,101%5D&amp;LANG=rus"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t>Букато, Виктор Иванович. Банки и банковские операции в России / В.И. Букато, Ю.В. Головин, Ю.И. Львов ; Под ред. М.Х. Лапидуса .— 2-е изд., перераб. и доп. — М. : Финансы и статистика, 2001 .— 366, [1] с.</w:t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11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Ю. В. Банки и банковские услуги в России. – М.: Финансы и статистика, 2000. – 420с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10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Денежное обращение и банки: Учебное пособие /Под ред. Г. Н. Белоглазовой, Г. В. Толоконцева. – М.: Финансы и статистика, 2000. – 468 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11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Корнешов А. Служба внутреннего контроля: проблемы становления // Банковское дело в Москве, 2000, № 7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12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Т. У. Управление банком. – Уфа : Спектр, 1995. - 638 с.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13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И. В. Реорганизация коммерческих банков. – М.: Финансы и статистика, 2000. - 328с.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14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Матовников М. Ю. Функционирование банковской системы России в условиях макроэкономической нестабильности. – М.: ИЭПП, 2000. – 256с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15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альманах фундаментальных и прикладных исследований: Денежно-кредитная и валютная политика: научные основы и практика / Гл.редактор Л.Н. Красавина. – М.: Финансы и статистика, 2002. – 310 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16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 валютном регулировании  и валютном контроле : федер. закон от 10 дек. 2003 г. № 173-ФЗ (в ред. федер. закона от 22 июл. 2008 г. № 150-ФЗ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 изменениями и дополнениями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). - (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http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//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www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consultant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ru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17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 противодействии легализации (отмыванию) доходов, полученных преступным путем, и финансированию терроризма: федер. закон от 7 авг. 2001 г. № 115-ФЗ (в ред. федер. закона от 17 июл. 2009 г. № 163-Ф</w:t>
            </w:r>
            <w:r>
              <w:rPr>
                <w:rFonts w:ascii="Arial" w:hAnsi="Arial" w:cs="Arial"/>
                <w:iCs/>
                <w:sz w:val="18"/>
                <w:szCs w:val="18"/>
              </w:rPr>
              <w:t>З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 изменениями и дополнениями). - (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http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//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www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consultant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ru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18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 страховании вкладов физических лиц в банках Российской Федерации: федер. закон от 23 дек. 2003 г. №177-ФЗ (в ред. федер. закона от 25 нояб. 2009 г. №281-ФЗ с изменениями и дополнениями). – (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http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//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www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consultant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ru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19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Операции коммерческих банков с ценными бумагами : пособие для вузов для направления 080100 "Экономика", программы "Банки и банковская деятельность" / Воронеж. гос. ун-т ; сост. Е.Ф. Сысоева .— Воронеж : Воронеж. гос. ун-т, 2009 .— 35 с.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20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Роуз Питер С. Банковский менеджмент. Предоставление финансовых услуг. – М.: Дело, 1997. – 680 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21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Финансово-кредитный энциклопедический словарь / Под ред. В. Ф. Гарбузова, Н. В. Гаретовского.  – М.: Финансы и статистика, 2000. – 756 с</w:t>
            </w:r>
          </w:p>
        </w:tc>
      </w:tr>
      <w:tr>
        <w:trPr>
          <w:trHeight w:val="441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22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"http://www.lib.vsu.ru/cgi-bin/zgate?ACTION=follow&amp;SESSION_ID=16144&amp;TERM=%D0%A7%D0%B5%D1%80%D0%BA%D0%B0%D1%81%D0%BE%D0%B2,%20%D0%92%D0%BB%D0%B0%D0%B4%D0%B8%D0%BC%D0%B8%D1%80%20%D0%95%D0%B2%D0%B3%D0%B5%D0%BD%D1%8C%D0%B5%D0%B2%D0%B8%D1%87%5B1,1004,4,101%5D&amp;LANG=rus"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t>Черкасов, Владимир Евгеньевич. Банковские операции: финансовый анализ / В. Е. Черкасов .— М. : Консалтбанкир, 2001 .— 285,[1] с.</w:t>
            </w:r>
            <w:r>
              <w:rPr>
                <w:rStyle w:val="22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116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23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Юров А.В. Наличное денежное обращение в России: на пути совершенствования и развития / А.В. Юров // Деньги и кредит. – 2009. - № 12. – С.7-13.</w:t>
            </w:r>
          </w:p>
        </w:tc>
      </w:tr>
      <w:tr>
        <w:trPr>
          <w:trHeight w:val="116" w:hRule="atLeast"/>
          <w:jc w:val="center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24</w:t>
            </w:r>
          </w:p>
        </w:tc>
        <w:tc>
          <w:tcPr>
            <w:tcW w:w="91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</w:tr>
    </w:tbl>
    <w:p>
      <w:pPr>
        <w:rPr>
          <w:rStyle w:val="24"/>
          <w:rFonts w:ascii="Arial" w:hAnsi="Arial" w:cs="Arial"/>
          <w:b w:val="0"/>
          <w:iCs/>
        </w:rPr>
      </w:pPr>
    </w:p>
    <w:p>
      <w:pPr>
        <w:rPr>
          <w:rStyle w:val="24"/>
          <w:rFonts w:ascii="Arial" w:hAnsi="Arial" w:cs="Arial"/>
          <w:b w:val="0"/>
          <w:iCs/>
        </w:rPr>
      </w:pPr>
    </w:p>
    <w:p>
      <w:pPr>
        <w:rPr>
          <w:rStyle w:val="24"/>
          <w:rFonts w:ascii="Arial" w:hAnsi="Arial" w:cs="Arial"/>
          <w:iCs/>
        </w:rPr>
      </w:pPr>
      <w:r>
        <w:rPr>
          <w:rStyle w:val="24"/>
          <w:rFonts w:ascii="Arial" w:hAnsi="Arial" w:cs="Arial"/>
          <w:b w:val="0"/>
          <w:iCs/>
        </w:rPr>
        <w:t xml:space="preserve">в) </w:t>
      </w:r>
      <w:r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>
        <w:rPr>
          <w:rStyle w:val="24"/>
          <w:rFonts w:ascii="Arial" w:hAnsi="Arial" w:cs="Arial"/>
          <w:iCs/>
        </w:rPr>
        <w:t xml:space="preserve">: </w:t>
      </w:r>
    </w:p>
    <w:tbl>
      <w:tblPr>
        <w:tblStyle w:val="25"/>
        <w:tblW w:w="96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784"/>
      </w:tblGrid>
      <w:tr>
        <w:trPr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25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Национальный цифровой ресурс «РУКОНТ». – URL: http://rucont.ru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26.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Электронно-библиотечная система «Издательство «Лань»». – URL: </w:t>
            </w:r>
            <w:r>
              <w:fldChar w:fldCharType="begin"/>
            </w:r>
            <w:r>
              <w:instrText xml:space="preserve"> HYPERLINK "https://e.lanbook.kom"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https://e.lanbook.kom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  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27.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Электронно-библиотечная система «Университетская библиотека online». – URL: </w:t>
            </w:r>
            <w:r>
              <w:fldChar w:fldCharType="begin"/>
            </w:r>
            <w:r>
              <w:instrText xml:space="preserve"> HYPERLINK "http://biblioclub.ru"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http://biblioclub.ru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  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28.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«КонсультантПлюс» -</w:t>
            </w:r>
            <w:r>
              <w:rPr>
                <w:rStyle w:val="46"/>
                <w:rFonts w:ascii="Arial" w:hAnsi="Arial" w:cs="Arial"/>
                <w:i w:val="0"/>
              </w:rPr>
              <w:t xml:space="preserve"> </w:t>
            </w:r>
            <w:r>
              <w:rPr>
                <w:rStyle w:val="46"/>
                <w:rFonts w:ascii="Arial" w:hAnsi="Arial" w:cs="Arial"/>
                <w:i w:val="0"/>
                <w:lang w:val="en-US"/>
              </w:rPr>
              <w:t>URL</w:t>
            </w:r>
            <w:r>
              <w:rPr>
                <w:rStyle w:val="46"/>
                <w:rFonts w:ascii="Arial" w:hAnsi="Arial" w:cs="Arial"/>
                <w:i w:val="0"/>
              </w:rPr>
              <w:t>: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"http://www.consultant.ru"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i w:val="0"/>
                <w:iCs/>
                <w:lang w:val="en-US"/>
              </w:rPr>
              <w:t>http</w:t>
            </w:r>
            <w:r>
              <w:rPr>
                <w:rStyle w:val="22"/>
                <w:rFonts w:ascii="Arial" w:hAnsi="Arial" w:cs="Arial"/>
                <w:i w:val="0"/>
                <w:iCs/>
              </w:rPr>
              <w:t>//</w:t>
            </w:r>
            <w:r>
              <w:rPr>
                <w:rStyle w:val="22"/>
                <w:rFonts w:ascii="Arial" w:hAnsi="Arial" w:cs="Arial"/>
                <w:i w:val="0"/>
                <w:iCs/>
                <w:lang w:val="en-US"/>
              </w:rPr>
              <w:t>www</w:t>
            </w:r>
            <w:r>
              <w:rPr>
                <w:rStyle w:val="22"/>
                <w:rFonts w:ascii="Arial" w:hAnsi="Arial" w:cs="Arial"/>
                <w:i w:val="0"/>
                <w:iCs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lang w:val="en-US"/>
              </w:rPr>
              <w:t>consultant</w:t>
            </w:r>
            <w:r>
              <w:rPr>
                <w:rStyle w:val="22"/>
                <w:rFonts w:ascii="Arial" w:hAnsi="Arial" w:cs="Arial"/>
                <w:i w:val="0"/>
                <w:iCs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lang w:val="en-US"/>
              </w:rPr>
              <w:t>ru</w:t>
            </w:r>
            <w:r>
              <w:rPr>
                <w:rStyle w:val="22"/>
                <w:rFonts w:ascii="Arial" w:hAnsi="Arial" w:cs="Arial"/>
                <w:i w:val="0"/>
                <w:iCs/>
                <w:lang w:val="en-US"/>
              </w:rPr>
              <w:fldChar w:fldCharType="end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  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29.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Портал «Финансовые науки»– </w:t>
            </w:r>
            <w:r>
              <w:rPr>
                <w:rStyle w:val="46"/>
                <w:rFonts w:ascii="Arial" w:hAnsi="Arial" w:cs="Arial"/>
                <w:i w:val="0"/>
                <w:lang w:val="en-US"/>
              </w:rPr>
              <w:t>URL</w:t>
            </w:r>
            <w:r>
              <w:rPr>
                <w:rStyle w:val="46"/>
                <w:rFonts w:ascii="Arial" w:hAnsi="Arial" w:cs="Arial"/>
                <w:i w:val="0"/>
              </w:rPr>
              <w:t>: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http://</w:t>
            </w:r>
            <w:r>
              <w:fldChar w:fldCharType="begin"/>
            </w:r>
            <w:r>
              <w:instrText xml:space="preserve"> HYPERLINK "http://www.mirkin.ru" </w:instrText>
            </w:r>
            <w:r>
              <w:fldChar w:fldCharType="separate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www.mirkin.ru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Банк России – </w:t>
            </w:r>
            <w:r>
              <w:fldChar w:fldCharType="begin"/>
            </w:r>
            <w:r>
              <w:instrText xml:space="preserve"> HYPERLINK "URL:http://www.cbr.ru"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i w:val="0"/>
                <w:lang w:val="en-US"/>
              </w:rPr>
              <w:t>URL</w:t>
            </w:r>
            <w:r>
              <w:rPr>
                <w:rStyle w:val="22"/>
                <w:rFonts w:ascii="Arial" w:hAnsi="Arial" w:cs="Arial"/>
                <w:i w:val="0"/>
              </w:rPr>
              <w:t>: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30.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Федеральной службы государственной статистики – </w:t>
            </w:r>
            <w:r>
              <w:fldChar w:fldCharType="begin"/>
            </w:r>
            <w:r>
              <w:instrText xml:space="preserve"> HYPERLINK "URL:http://www.gks.ru"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i w:val="0"/>
                <w:lang w:val="en-US"/>
              </w:rPr>
              <w:t>URL</w:t>
            </w:r>
            <w:r>
              <w:rPr>
                <w:rStyle w:val="22"/>
                <w:rFonts w:ascii="Arial" w:hAnsi="Arial" w:cs="Arial"/>
                <w:i w:val="0"/>
              </w:rPr>
              <w:t>: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31.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Ассоциации Российских банков – 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"http://arb.ru" </w:instrText>
            </w:r>
            <w:r>
              <w:fldChar w:fldCharType="separate"/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arb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  <w:r>
              <w:rPr>
                <w:rStyle w:val="22"/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32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Правительства РФ. –  </w:t>
            </w:r>
            <w:r>
              <w:rPr>
                <w:rStyle w:val="46"/>
                <w:rFonts w:ascii="Arial" w:hAnsi="Arial" w:cs="Arial"/>
                <w:i w:val="0"/>
                <w:lang w:val="en-US"/>
              </w:rPr>
              <w:t>URL</w:t>
            </w:r>
            <w:r>
              <w:rPr>
                <w:rStyle w:val="46"/>
                <w:rFonts w:ascii="Arial" w:hAnsi="Arial" w:cs="Arial"/>
                <w:i w:val="0"/>
              </w:rPr>
              <w:t xml:space="preserve">: 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http://</w:t>
            </w:r>
            <w:r>
              <w:fldChar w:fldCharType="begin"/>
            </w:r>
            <w:r>
              <w:instrText xml:space="preserve"> HYPERLINK "http://www.government.ru" </w:instrText>
            </w:r>
            <w:r>
              <w:fldChar w:fldCharType="separate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www.government.ru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33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РосБизнесКонсалтинг  – </w:t>
            </w:r>
            <w:r>
              <w:rPr>
                <w:rStyle w:val="46"/>
                <w:rFonts w:ascii="Arial" w:hAnsi="Arial" w:cs="Arial"/>
                <w:i w:val="0"/>
                <w:lang w:val="en-US"/>
              </w:rPr>
              <w:t>URL</w:t>
            </w:r>
            <w:r>
              <w:rPr>
                <w:rStyle w:val="46"/>
                <w:rFonts w:ascii="Arial" w:hAnsi="Arial" w:cs="Arial"/>
                <w:i w:val="0"/>
              </w:rPr>
              <w:t>: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http://</w:t>
            </w:r>
            <w:r>
              <w:rPr>
                <w:rStyle w:val="46"/>
                <w:rFonts w:ascii="Arial" w:hAnsi="Arial" w:cs="Arial"/>
                <w:i w:val="0"/>
              </w:rPr>
              <w:t xml:space="preserve"> </w:t>
            </w:r>
            <w:r>
              <w:fldChar w:fldCharType="begin"/>
            </w:r>
            <w:r>
              <w:instrText xml:space="preserve"> HYPERLINK "http://www.rbc.ru" </w:instrText>
            </w:r>
            <w:r>
              <w:fldChar w:fldCharType="separate"/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www.rbc.ru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fldChar w:fldCharType="end"/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34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Банк России. – http://www.cbr.ru</w:t>
            </w:r>
          </w:p>
        </w:tc>
      </w:tr>
      <w:tr>
        <w:trPr>
          <w:trHeight w:val="11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0"/>
              <w:jc w:val="center"/>
              <w:rPr>
                <w:rFonts w:ascii="Arial" w:hAnsi="Arial" w:cs="Arial"/>
                <w:i w:val="0"/>
                <w:iCs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Cs w:val="18"/>
                <w:lang w:eastAsia="ru-RU"/>
              </w:rPr>
              <w:t>35</w:t>
            </w:r>
          </w:p>
        </w:tc>
        <w:tc>
          <w:tcPr>
            <w:tcW w:w="8784" w:type="dxa"/>
            <w:tcBorders>
              <w:left w:val="single" w:color="auto" w:sz="4" w:space="0"/>
            </w:tcBorders>
            <w:vAlign w:val="center"/>
          </w:tcPr>
          <w:p>
            <w:pPr>
              <w:pStyle w:val="4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Электронное агентство «ЭкспертРА». – URL: http:// www.raexpert.ru</w:t>
            </w:r>
          </w:p>
        </w:tc>
      </w:tr>
    </w:tbl>
    <w:p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>* Вначале указываются ЭБС, с которыми имеются договора у ВГУ, затем открытые электронно-образовательные ресурсы</w:t>
      </w:r>
    </w:p>
    <w:p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25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742"/>
      </w:tblGrid>
      <w:tr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>
        <w:trPr>
          <w:trHeight w:val="116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Козуб Л.А. Учебно-методическое пособие для вузов для магистрантов направления 38.04.08 «Финансы и кредит» по выполнению самостоятельной работы всех форм обучения / Л.А. Козуб, Е.Ф. Сысоева.- Воронеж: ВГУ. – Экономический факультет, 2016. – 56 с.</w:t>
            </w:r>
          </w:p>
        </w:tc>
      </w:tr>
    </w:tbl>
    <w:p>
      <w:pPr>
        <w:rPr>
          <w:rFonts w:ascii="Arial" w:hAnsi="Arial" w:cs="Arial"/>
          <w:i/>
        </w:rPr>
      </w:pPr>
    </w:p>
    <w:p>
      <w:pPr>
        <w:pBdr>
          <w:bottom w:val="single" w:color="auto" w:sz="12" w:space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 </w:t>
      </w:r>
    </w:p>
    <w:p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персональный компьютер и видеопроекционное оборудование;</w:t>
      </w:r>
    </w:p>
    <w:p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программное обеспечение общего назначения Mikrosoft Office;</w:t>
      </w:r>
    </w:p>
    <w:p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информационно-справочная система URL : </w:t>
      </w:r>
      <w:r>
        <w:fldChar w:fldCharType="begin"/>
      </w:r>
      <w:r>
        <w:instrText xml:space="preserve"> HYPERLINK "http://www.consultant.ru" </w:instrText>
      </w:r>
      <w:r>
        <w:fldChar w:fldCharType="separate"/>
      </w:r>
      <w:r>
        <w:rPr>
          <w:rStyle w:val="22"/>
          <w:rFonts w:ascii="Arial" w:hAnsi="Arial" w:cs="Arial"/>
          <w:sz w:val="24"/>
          <w:szCs w:val="24"/>
        </w:rPr>
        <w:t>http://www.consultant.ru</w:t>
      </w:r>
      <w:r>
        <w:rPr>
          <w:rStyle w:val="22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Bdr>
          <w:bottom w:val="single" w:color="auto" w:sz="12" w:space="1"/>
        </w:pBdr>
        <w:rPr>
          <w:rFonts w:ascii="Arial" w:hAnsi="Arial" w:cs="Arial"/>
          <w:b/>
          <w:sz w:val="24"/>
          <w:szCs w:val="24"/>
        </w:rPr>
      </w:pPr>
    </w:p>
    <w:p>
      <w:pPr>
        <w:pBdr>
          <w:bottom w:val="single" w:color="auto" w:sz="12" w:space="1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</w:t>
      </w:r>
    </w:p>
    <w:p>
      <w:pPr>
        <w:pBdr>
          <w:bottom w:val="single" w:color="auto" w:sz="12" w:space="1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Автоматизированный аудио-визуальный комплекс (203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 xml:space="preserve">,206а,208а,200а), Мультимедийные проекторы </w:t>
      </w:r>
      <w:r>
        <w:rPr>
          <w:rFonts w:ascii="Arial" w:hAnsi="Arial" w:cs="Arial"/>
          <w:sz w:val="24"/>
          <w:szCs w:val="24"/>
          <w:lang w:val="en-US"/>
        </w:rPr>
        <w:t>Toshiba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TLP</w:t>
      </w:r>
      <w:r>
        <w:rPr>
          <w:rFonts w:ascii="Arial" w:hAnsi="Arial" w:cs="Arial"/>
          <w:sz w:val="24"/>
          <w:szCs w:val="24"/>
        </w:rPr>
        <w:t xml:space="preserve"> 781 (ауд.201), </w:t>
      </w:r>
      <w:r>
        <w:rPr>
          <w:rFonts w:ascii="Arial" w:hAnsi="Arial" w:cs="Arial"/>
          <w:sz w:val="24"/>
          <w:szCs w:val="24"/>
          <w:lang w:val="en-US"/>
        </w:rPr>
        <w:t>NEC</w:t>
      </w:r>
      <w:r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 xml:space="preserve">60 (ауд. 200а, 200б), </w:t>
      </w:r>
      <w:r>
        <w:rPr>
          <w:rFonts w:ascii="Arial" w:hAnsi="Arial" w:cs="Arial"/>
          <w:sz w:val="24"/>
          <w:szCs w:val="24"/>
          <w:lang w:val="en-US"/>
        </w:rPr>
        <w:t>EIKI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Panasonic</w:t>
      </w:r>
      <w:r>
        <w:rPr>
          <w:rFonts w:ascii="Arial" w:hAnsi="Arial" w:cs="Arial"/>
          <w:sz w:val="24"/>
          <w:szCs w:val="24"/>
        </w:rPr>
        <w:t xml:space="preserve">22 (актовый зал, ауд. 225); ноутбук </w:t>
      </w:r>
      <w:r>
        <w:rPr>
          <w:rFonts w:ascii="Arial" w:hAnsi="Arial" w:cs="Arial"/>
          <w:sz w:val="24"/>
          <w:szCs w:val="24"/>
          <w:lang w:val="en-US"/>
        </w:rPr>
        <w:t>Acer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</w:t>
      </w:r>
      <w:r>
        <w:rPr>
          <w:rFonts w:ascii="Arial" w:hAnsi="Arial" w:cs="Arial"/>
          <w:sz w:val="24"/>
          <w:szCs w:val="24"/>
        </w:rPr>
        <w:t>-4230 (ауд. 105).</w:t>
      </w:r>
    </w:p>
    <w:p>
      <w:pPr>
        <w:pBdr>
          <w:bottom w:val="single" w:color="auto" w:sz="12" w:space="1"/>
        </w:pBdr>
        <w:jc w:val="both"/>
        <w:rPr>
          <w:rFonts w:ascii="Arial" w:hAnsi="Arial" w:cs="Arial"/>
          <w:bCs/>
          <w:i/>
        </w:rPr>
      </w:pPr>
    </w:p>
    <w:p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Фонд оценочных средств:</w:t>
      </w:r>
    </w:p>
    <w:p>
      <w:pPr>
        <w:numPr>
          <w:ilvl w:val="1"/>
          <w:numId w:val="2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Style w:val="25"/>
        <w:tblW w:w="10031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402"/>
        <w:gridCol w:w="3969"/>
        <w:gridCol w:w="1560"/>
      </w:tblGrid>
      <w:tr>
        <w:tc>
          <w:tcPr>
            <w:tcW w:w="1100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3402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3969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560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ФОС* </w:t>
            </w:r>
          </w:p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>
        <w:trPr>
          <w:trHeight w:val="325" w:hRule="atLeast"/>
        </w:trPr>
        <w:tc>
          <w:tcPr>
            <w:tcW w:w="1100" w:type="dxa"/>
            <w:vMerge w:val="restart"/>
          </w:tcPr>
          <w:p>
            <w:pPr>
              <w:rPr>
                <w:rFonts w:ascii="Arial" w:hAnsi="Arial" w:cs="Arial"/>
                <w:color w:val="5B9BD5"/>
              </w:rPr>
            </w:pPr>
          </w:p>
          <w:p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</w:rPr>
              <w:t>ОПК-3</w:t>
            </w:r>
          </w:p>
        </w:tc>
        <w:tc>
          <w:tcPr>
            <w:tcW w:w="340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знать:  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основные понятия банковской деятельности по обслуживанию клиентуры, особенности организации операций по банковскому обслуживанию клиентов, показатели банковской деятельности </w:t>
            </w:r>
          </w:p>
        </w:tc>
        <w:tc>
          <w:tcPr>
            <w:tcW w:w="3969" w:type="dxa"/>
          </w:tcPr>
          <w:p>
            <w:pPr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Коммерческий банк как посредник на финансовом рынке и финансовый институт депозитного типа. Деятельность банка по обслуживанию клиентов.  Классификации банковских операций и их виды.</w:t>
            </w: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</w:rPr>
              <w:t>Тест № 1,  рефераты</w:t>
            </w:r>
          </w:p>
        </w:tc>
      </w:tr>
      <w:tr>
        <w:trPr>
          <w:trHeight w:val="401" w:hRule="atLeast"/>
        </w:trPr>
        <w:tc>
          <w:tcPr>
            <w:tcW w:w="1100" w:type="dxa"/>
            <w:vMerge w:val="continue"/>
          </w:tcPr>
          <w:p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402" w:type="dxa"/>
          </w:tcPr>
          <w:p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уметь: </w:t>
            </w:r>
            <w:r>
              <w:rPr>
                <w:rFonts w:ascii="Arial" w:hAnsi="Arial" w:cs="Arial"/>
                <w:sz w:val="20"/>
                <w:szCs w:val="20"/>
              </w:rPr>
              <w:t xml:space="preserve">осуществлять сбор, анализ и обработку данных, характеризующих финансовые показатели деятельности коммерческих банков с целью их использования для решения профессиональных задач по организации пассивных и активных банковских операций и их совершенствованию, </w:t>
            </w:r>
          </w:p>
        </w:tc>
        <w:tc>
          <w:tcPr>
            <w:tcW w:w="3969" w:type="dxa"/>
          </w:tcPr>
          <w:p>
            <w:pPr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Коммерческий банк как посредник на финансовом рынке и финансовый институт депозитного типа. Деятельность банка по обслуживанию юридических и физических лиц.  Классификации банковских операций и их виды.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№1,  рефераты</w:t>
            </w:r>
          </w:p>
        </w:tc>
      </w:tr>
      <w:tr>
        <w:trPr>
          <w:trHeight w:val="280" w:hRule="atLeast"/>
        </w:trPr>
        <w:tc>
          <w:tcPr>
            <w:tcW w:w="1100" w:type="dxa"/>
            <w:vMerge w:val="continue"/>
          </w:tcPr>
          <w:p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402" w:type="dxa"/>
          </w:tcPr>
          <w:p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владеть: </w:t>
            </w:r>
            <w:r>
              <w:rPr>
                <w:rFonts w:ascii="Arial" w:hAnsi="Arial" w:cs="Arial"/>
                <w:sz w:val="20"/>
                <w:szCs w:val="20"/>
              </w:rPr>
              <w:t xml:space="preserve">способностью собрать необходимые данные для анализа состояния и оценки тенденций развития пассивных и активных банковских операций на основе использования результатов научных исследований, </w:t>
            </w:r>
          </w:p>
        </w:tc>
        <w:tc>
          <w:tcPr>
            <w:tcW w:w="3969" w:type="dxa"/>
          </w:tcPr>
          <w:p>
            <w:pPr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Коммерческий банк как посредник на финансовом рынке и финансовый институт депозитного типа. Деятельность банка по обслуживанию юридических и физических лиц.  Классификации банковских операций и их виды.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№1,  рефераты</w:t>
            </w:r>
          </w:p>
        </w:tc>
      </w:tr>
      <w:tr>
        <w:trPr>
          <w:trHeight w:val="280" w:hRule="atLeast"/>
        </w:trPr>
        <w:tc>
          <w:tcPr>
            <w:tcW w:w="1100" w:type="dxa"/>
            <w:vMerge w:val="restar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</w:t>
            </w:r>
          </w:p>
        </w:tc>
        <w:tc>
          <w:tcPr>
            <w:tcW w:w="3402" w:type="dxa"/>
          </w:tcPr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знать: </w:t>
            </w:r>
            <w:r>
              <w:rPr>
                <w:rFonts w:ascii="Arial" w:hAnsi="Arial" w:cs="Arial"/>
                <w:sz w:val="20"/>
                <w:szCs w:val="20"/>
              </w:rPr>
              <w:t xml:space="preserve">финансово-экономические показатели деятельности банка и методы их анализа,  инструменты, виды пассивных и активных кредитных банковских операций по обслуживанию корпоративной клиентуры, соответствующий механизм формирования и использования кредитных ресурсов и продуктов коммерческого банка </w:t>
            </w:r>
          </w:p>
          <w:p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владеть:  </w:t>
            </w:r>
            <w:r>
              <w:rPr>
                <w:rFonts w:ascii="Arial" w:hAnsi="Arial" w:cs="Arial"/>
                <w:sz w:val="20"/>
                <w:szCs w:val="20"/>
              </w:rPr>
              <w:t xml:space="preserve">навыками подготовки информационного обзора и аналитического отчета о состоянии и результатах банковской деятельности по кредитному обслуживанию корпоративных клментов.     </w:t>
            </w:r>
          </w:p>
        </w:tc>
        <w:tc>
          <w:tcPr>
            <w:tcW w:w="3969" w:type="dxa"/>
          </w:tcPr>
          <w:p>
            <w:pPr>
              <w:jc w:val="both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Структуру ресурсов  и кредитного потенциала коммерческого банка, его  депозитные, кредитные операции, оценку кредитоспособности заемщика и обеспечение банковского кредита, организацию фондовых, валютных, лизинговых, факторинговых и прочих операций коммерческого банка, финансовые результаты банковской деятельности </w:t>
            </w: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№2,3,4,5 рефераты</w:t>
            </w:r>
          </w:p>
        </w:tc>
      </w:tr>
      <w:tr>
        <w:trPr>
          <w:trHeight w:val="280" w:hRule="atLeast"/>
        </w:trPr>
        <w:tc>
          <w:tcPr>
            <w:tcW w:w="1100" w:type="dxa"/>
            <w:vMerge w:val="continue"/>
          </w:tcPr>
          <w:p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402" w:type="dxa"/>
          </w:tcPr>
          <w:p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уметь:  </w:t>
            </w:r>
            <w:r>
              <w:rPr>
                <w:rFonts w:ascii="Arial" w:hAnsi="Arial" w:cs="Arial"/>
                <w:sz w:val="20"/>
                <w:szCs w:val="20"/>
              </w:rPr>
              <w:t xml:space="preserve">анализировать и оценивать состояние и тенденции развития банковской системы и банковской кредитной деятельности, структуру кредитного портфеля, выявлять существующие проблемы и подходы к их решению  </w:t>
            </w:r>
          </w:p>
          <w:p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Структуру ресурсов  и кредитного потенциала коммерческого банка, его  депозитные, кредитные операции, оценку кредитоспособности заемщика и обеспечение банковского кредита, организацию фондовых, валютных, лизинговых, факторинговых и прочих операций коммерческого банка, финансовые результаты банковской деятельности</w:t>
            </w: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№2,3,4,5 рефераты</w:t>
            </w:r>
          </w:p>
        </w:tc>
      </w:tr>
      <w:tr>
        <w:trPr>
          <w:trHeight w:val="280" w:hRule="atLeast"/>
        </w:trPr>
        <w:tc>
          <w:tcPr>
            <w:tcW w:w="1100" w:type="dxa"/>
            <w:vMerge w:val="continue"/>
          </w:tcPr>
          <w:p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владеть:  </w:t>
            </w:r>
            <w:r>
              <w:rPr>
                <w:rFonts w:ascii="Arial" w:hAnsi="Arial" w:cs="Arial"/>
                <w:sz w:val="20"/>
                <w:szCs w:val="20"/>
              </w:rPr>
              <w:t xml:space="preserve">навыками подготовки информационного обзора и аналитического отчета о состоянии и результатах банковской деятельности по кредитному обслуживанию корпоративных клментов.   </w:t>
            </w:r>
          </w:p>
        </w:tc>
        <w:tc>
          <w:tcPr>
            <w:tcW w:w="3969" w:type="dxa"/>
          </w:tcPr>
          <w:p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Структуру ресурсов  и кредитного потенциала коммерческого банка, его  депозитные, кредитные операции, оценку кредитоспособности заемщика и обеспечение банковского кредита, организацию фондовых, валютных, лизинговых, факторинговых и прочих операций коммерческого банка, финансовые результаты банковской деятельности</w:t>
            </w: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Тест №2,3,4,5 рефераты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  <w:color w:val="auto"/>
              </w:rPr>
            </w:pPr>
          </w:p>
        </w:tc>
      </w:tr>
      <w:tr>
        <w:trPr>
          <w:trHeight w:val="134" w:hRule="atLeast"/>
        </w:trPr>
        <w:tc>
          <w:tcPr>
            <w:tcW w:w="8471" w:type="dxa"/>
            <w:gridSpan w:val="3"/>
          </w:tcPr>
          <w:p>
            <w:pPr>
              <w:rPr>
                <w:rFonts w:ascii="Arial" w:hAnsi="Arial" w:cs="Arial"/>
                <w:color w:val="5B9BD5"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560" w:type="dxa"/>
          </w:tcPr>
          <w:p>
            <w:pPr>
              <w:rPr>
                <w:rFonts w:ascii="Arial" w:hAnsi="Arial" w:cs="Arial"/>
                <w:color w:val="5B9BD5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к экзамену</w:t>
            </w:r>
          </w:p>
        </w:tc>
      </w:tr>
    </w:tbl>
    <w:p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>
      <w:pPr>
        <w:pStyle w:val="9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оценивания результатов обучения на экзамене используются следующие показатели:</w:t>
      </w:r>
    </w:p>
    <w:p>
      <w:pPr>
        <w:pStyle w:val="9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знание учебного материала и владение понятийным аппаратом; </w:t>
      </w:r>
    </w:p>
    <w:p>
      <w:pPr>
        <w:pStyle w:val="9"/>
        <w:ind w:firstLine="3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умение связывать теорию с практикой; </w:t>
      </w:r>
    </w:p>
    <w:p>
      <w:pPr>
        <w:pStyle w:val="9"/>
        <w:ind w:firstLine="3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умение иллюстрировать ответ примерами, фактами, данными научных исследований;</w:t>
      </w:r>
    </w:p>
    <w:p>
      <w:pPr>
        <w:pStyle w:val="9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оценивания результатов обучения на экзамене (зачете с оценкой) используется 4-балльная шала: «отлично», «хорошо», «удовлетворительно», «неудовлетворительно».</w:t>
      </w:r>
    </w:p>
    <w:p>
      <w:pPr>
        <w:pStyle w:val="9"/>
        <w:ind w:firstLine="426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Для оценивания результатов обучения на зачете используется – зачтено, не зачтено</w:t>
      </w:r>
    </w:p>
    <w:p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25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1559"/>
        <w:gridCol w:w="1985"/>
      </w:tblGrid>
      <w:tr>
        <w:tc>
          <w:tcPr>
            <w:tcW w:w="6521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Шкала оценок</w:t>
            </w:r>
          </w:p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945" w:hRule="atLeast"/>
        </w:trPr>
        <w:tc>
          <w:tcPr>
            <w:tcW w:w="6521" w:type="dxa"/>
          </w:tcPr>
          <w:p>
            <w:pPr>
              <w:pStyle w:val="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 полной мере владеет понятийным аппаратом данной области науки, способен  иллюстрировать ответ примерами, фактами, данными научных исследований, умеет связывать теорию с практикой </w:t>
            </w:r>
          </w:p>
        </w:tc>
        <w:tc>
          <w:tcPr>
            <w:tcW w:w="1559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Повышенный уровень</w:t>
            </w:r>
          </w:p>
          <w:p>
            <w:pPr>
              <w:pStyle w:val="9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Отлично</w:t>
            </w:r>
          </w:p>
          <w:p>
            <w:pPr>
              <w:pStyle w:val="9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  <w:p>
            <w:pPr>
              <w:pStyle w:val="9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>
        <w:tc>
          <w:tcPr>
            <w:tcW w:w="6521" w:type="dxa"/>
          </w:tcPr>
          <w:p>
            <w:pPr>
              <w:pStyle w:val="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связывать теорию с практикой .</w:t>
            </w:r>
          </w:p>
        </w:tc>
        <w:tc>
          <w:tcPr>
            <w:tcW w:w="1559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985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Хорошо</w:t>
            </w:r>
          </w:p>
        </w:tc>
      </w:tr>
      <w:tr>
        <w:tc>
          <w:tcPr>
            <w:tcW w:w="6521" w:type="dxa"/>
          </w:tcPr>
          <w:p>
            <w:pPr>
              <w:pStyle w:val="9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соответствует двум из перечисленных показателей, обучающийся дает неполные ответы на дополнительные вопросы. Демонстрирует частичные знания</w:t>
            </w:r>
          </w:p>
        </w:tc>
        <w:tc>
          <w:tcPr>
            <w:tcW w:w="1559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Пороговый  уровень</w:t>
            </w:r>
          </w:p>
        </w:tc>
        <w:tc>
          <w:tcPr>
            <w:tcW w:w="1985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Удовлетвори-тельно</w:t>
            </w:r>
          </w:p>
        </w:tc>
      </w:tr>
      <w:tr>
        <w:tc>
          <w:tcPr>
            <w:tcW w:w="6521" w:type="dxa"/>
          </w:tcPr>
          <w:p>
            <w:pPr>
              <w:pStyle w:val="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Ответ на контрольно-измерительный материал не соответствует перечисленным показателям. Обучающийся демонстрирует отрывочные, фрагментарные знания, допускает грубые ошибки…., </w:t>
            </w:r>
          </w:p>
        </w:tc>
        <w:tc>
          <w:tcPr>
            <w:tcW w:w="1559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–</w:t>
            </w:r>
          </w:p>
        </w:tc>
        <w:tc>
          <w:tcPr>
            <w:tcW w:w="1985" w:type="dxa"/>
          </w:tcPr>
          <w:p>
            <w:pPr>
              <w:pStyle w:val="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Неудовлетвори-тельно</w:t>
            </w:r>
          </w:p>
        </w:tc>
      </w:tr>
    </w:tbl>
    <w:p>
      <w:pPr>
        <w:pStyle w:val="15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15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19.3.1 Перечень вопросов к зачету: </w:t>
      </w:r>
    </w:p>
    <w:tbl>
      <w:tblPr>
        <w:tblStyle w:val="2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54"/>
      </w:tblGrid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8754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</w:t>
            </w:r>
          </w:p>
        </w:tc>
      </w:tr>
      <w:tr>
        <w:trPr>
          <w:trHeight w:val="90" w:hRule="atLeast"/>
        </w:trP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8754" w:type="dxa"/>
          </w:tcPr>
          <w:p>
            <w:pPr>
              <w:pStyle w:val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Классификация банковских операций                                  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Структура банковских ресурсов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Характеристика пассивных операций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Депозитные операции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Межбанковский кредит и его виды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Кредитный потенциал банка, его структура и факторы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Понятие кредитных операций банков, их классификация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Банковский кредит: принципы, формы, функции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методы кредитования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этапы кредитного процесса.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Порядок оформ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ления банковского кредита.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Кредитный мониторинг.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Особенности возврата кредита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8754" w:type="dxa"/>
          </w:tcPr>
          <w:p>
            <w:pPr>
              <w:tabs>
                <w:tab w:val="left" w:pos="18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Особенности долгосрочного кредитования.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Современные формы и методы кредитования.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Понятие и  сущность кредитоспособности заемщика банка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 кредитоспособности и порядок расчета,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Рейтинговая оценка кредитоспособности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Неэкономические факторы кредитоспособности заемщика.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Формы обеспечения возвратности кредита, их характеристика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Залог, его виды.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тии и поручительства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Страхование кредитных рисков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Сущность и классификация банковских рисков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 банковских рисков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Средства регулирования банковских рисков </w:t>
            </w:r>
          </w:p>
        </w:tc>
      </w:tr>
    </w:tbl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19.3.1 Перечень вопросов к экзамену: </w:t>
      </w:r>
    </w:p>
    <w:tbl>
      <w:tblPr>
        <w:tblStyle w:val="2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54"/>
      </w:tblGrid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8754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</w:t>
            </w:r>
          </w:p>
        </w:tc>
      </w:tr>
      <w:tr>
        <w:trPr>
          <w:trHeight w:val="403" w:hRule="atLeast"/>
        </w:trP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8754" w:type="dxa"/>
          </w:tcPr>
          <w:p>
            <w:pPr>
              <w:pStyle w:val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Классификация банковских операций             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Структура банковских ресурсов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Характеристика пассивных операций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Депозитные операции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Межбанковский кредит и его виды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Кредитный потенциал банка, его структура и факторы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Понятие кредитных операций банков, их классификация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Банковский кредит: принципы, формы, функции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методы кредитования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этапы кредитного процесса.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Порядок оформ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ления банковского кредита.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Кредитный мониторинг.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Особенности возврата кредита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8754" w:type="dxa"/>
          </w:tcPr>
          <w:p>
            <w:pPr>
              <w:tabs>
                <w:tab w:val="left" w:pos="18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Особенности долгосрочного кредитования.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Современные формы и методы кредитования.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Понятие и  сущность кредитоспособности заемщика банка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 кредитоспособности и порядок расчета,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Рейтинговая оценка кредитоспособности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Неэкономические факторы кредитоспособности заемщика.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Формы обеспечения возвратности кредита, их характеристика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Залог, его виды.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тии и поручительства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Страхование кредитных рисков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Сущность и классификация банковских рисков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 банковских рисков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Средства регулирования банковских рисков 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Эмиссия собственных ценных бумаг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Посреднические операции банков с ценными бумагами.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международной деятельности банков.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Валютный рынок и его элементы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формы международных расчетов.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Валютные риски, формы и методы их страхования.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Лизинговые операции банков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Факторинговые операции банков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Гарантийные операции банков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Инкассовые операции и хранение ценностей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Информационные, справочные, консультативные услуги банков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Операции банков с драгметаллами и камнями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Финансовые результаты деятельности банков и механизм их формирования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Распределение и использование прибыли КБ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8754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Анализ баланса банка, показателей ликвидности, платежеспособности, фи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нансовой устойчивости, независимости, рентабельности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754" w:type="dxa"/>
          </w:tcPr>
          <w:p>
            <w:pPr>
              <w:jc w:val="both"/>
            </w:pPr>
          </w:p>
        </w:tc>
      </w:tr>
    </w:tbl>
    <w:p>
      <w:pPr>
        <w:pStyle w:val="15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19.3.3 Тестовые задания </w:t>
      </w:r>
    </w:p>
    <w:p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Комплект №1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К банковским операциям относятся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—выдача банковских гарантий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—выдача поручительств за третьих лиц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—лизинговые операции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—консультационные и информационные услуги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Отнесение процентов начисленных банком по привлеченным (размещенным) денежным средствам на расходы (доходы) на дату их уплаты (получения) называется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—методом "начислений"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—"кассовым" методом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—методом "цепных подстановок"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Начисление процентов по депозиту с учетом суммы ранее начисленных процентов называется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—начислением по "ставке простого процента"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—начислением по "ставке сложного процента"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—начисление по "плавающей процентной ставке"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Сумма процентов по вкладу (депозиту), если иное не предусмотрено договором, зачисляется на счет вкладчика по истечении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—каждого квартала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—каждого месяца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—каждой декады месяца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Условие договора банковского вклада об отказе физического лица от права на получение вклада по первому требованию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—законно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—ничтожно</w:t>
      </w:r>
    </w:p>
    <w:p>
      <w:pPr>
        <w:pStyle w:val="16"/>
        <w:rPr>
          <w:rFonts w:hint="default" w:ascii="Arial" w:hAnsi="Arial" w:cs="Arial"/>
          <w:sz w:val="22"/>
          <w:szCs w:val="22"/>
        </w:rPr>
      </w:pPr>
    </w:p>
    <w:p>
      <w:pPr>
        <w:jc w:val="center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  <w:lang w:eastAsia="ar-SA"/>
        </w:rPr>
        <w:t>Комплект №2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Ссудная задолженность физических лиц, обеспеченная в полной сумме поручительством, считается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—обеспеченной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—недостаточно обеспеченной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—необеспеченной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Предметом лизинга могут быть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—земельные участки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—оружие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—оборудование, используемое для предпринимательской деятельности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—жилые помещения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Банку - лизингодателю для сдачи имущества в лизинг требуется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—лицензия на совершение банковских операций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—лицензия на осуществление финансовой аренды (лизинга)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—лицензия на совершение банковских операций и лицензия на осуществление финансовой аренды (лизинга)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Целями деятельности Центрального банка являются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—защита и укрепление устойчивости рубля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—получение прибыли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—развитие и укрепление банковской системы РФ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—обеспечение эффективного и бесперебойного функционирования платежной системы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Банк России подотчетен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—Совету Федераций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—Государственной Думе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—Президенту РФ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Председатель Центрального банка назначается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—Президентом РФ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—Государственной Думой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—Советом Федераций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—Советом директоров Центрального Банка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Органом, осуществляющим функции валютного регулирования и контроля является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—Национальный банковский совет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—Московская Межбанковская Валютная Биржа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—Центральный банк РФ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Объединение кредитных организаций с целью защиты и представления интересов своих членов это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—банковский холдинг или группа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—банковский клуб или совет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—банковская ассоциация или союз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Иностранный банк это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—банк, признанный таковым по законодательству иностранного государства, на территории которого он зарегистрирован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—банк, с участием капитала банка другой страны (в уставном капитале)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—Российский банк имеющий филиалы за пределами РФ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Кредитные организации имеют право осуществлять кредитные операции только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—после получения лицензии на осуществление банковских операций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—после государственной регистрации в порядке установленном федеральным законодательством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—после полной оплаты уставного капитала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Сведения о счетах, вкладах и операциях клиентов кредитных организаций представляют собой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—коммерческую тайну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—открытую информацию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—банковскую тайну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Аудит годовой отчетности кредитных организаций может проводиться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—индивидуальными предпринимателями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—аудиторским организациями, осуществляющими аудиторскую деятельность не менее 2-х лет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—аудиторским организациями, осуществляющими аудиторскую деятельность не менее 3-х лет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eastAsia="ar-SA"/>
        </w:rPr>
      </w:pPr>
      <w:r>
        <w:rPr>
          <w:rFonts w:hint="default" w:ascii="Arial" w:hAnsi="Arial" w:cs="Arial"/>
          <w:b/>
          <w:bCs/>
          <w:sz w:val="22"/>
          <w:szCs w:val="22"/>
          <w:lang w:eastAsia="ar-SA"/>
        </w:rPr>
        <w:t>Комплект №3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Кредитные операции банка относятся к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—комиссионным операциям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—пассивным операциям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—активным операциям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Выдача кредита предприятиям и организациям производится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—только в безналичной форме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—только в наличной форме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—в любой из выше перечисленных форм в зависимости от условий договора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Под кредитом, предоставленным в виде "овердрафта" понимается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—сумма денежных средств, предоставленных заемщику, не превышающая максимального размера (лимита), определенного в договоре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—размер единовременной задолженности, не превышающий установленного соглашением лимита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—кредитование при недостатке средств на расчетном счете в пределах установленного в договоре лимита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Гашение задолженности по кредиту или процентам в иностранной валюте производится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—только в безналичном порядке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—только в наличном порядке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—как в наличном так и безналичном порядке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Риск непогашения заемщиком перед банком ссудной задолженности называется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—предпринимательским риском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—финансовым риском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—кредитным риском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Банковское кредитование под залог недвижимого имущества это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—потребительское кредитование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—коммерческое кредитование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—ипотечное кредитование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Корреспондентский счет банка "ЗЕНИТ" открытый в банке "Казанский" будет являться для последнего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—счетом ЛОРО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—счетом НОСТРО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—внебалансовым счетом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Кредит выдаваемый банком физическому лицу на покупку мебели называется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—потребительским кредитом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—коммерческим кредитом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—ипотечным кредитом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Чему будет равна сумма кредита в форме "овердрафт", если: установленный лимит "овердрафта" равен 100 000 рублей, остаток на расчетном счете 150 000 рублей, а сумма по платежным документам для проведения расчетов 230 000 рублей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—150 000 рублей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—80 000 рублей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—230 000 рублей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Резервный фонд в акционерных банках формируется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—путем ежеквартальных отчислений от прибыли банка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—путем ежегодных отчислений от прибыли банка</w:t>
      </w:r>
    </w:p>
    <w:p>
      <w:pPr>
        <w:pStyle w:val="16"/>
        <w:rPr>
          <w:rFonts w:hint="default" w:ascii="Arial" w:hAnsi="Arial" w:eastAsia="MS Mincho" w:cs="Arial"/>
          <w:sz w:val="22"/>
          <w:szCs w:val="22"/>
        </w:rPr>
      </w:pPr>
      <w:r>
        <w:rPr>
          <w:rFonts w:hint="default" w:ascii="Arial" w:hAnsi="Arial" w:eastAsia="MS Mincho" w:cs="Arial"/>
          <w:sz w:val="22"/>
          <w:szCs w:val="22"/>
        </w:rPr>
        <w:t>—ежемесячно</w:t>
      </w:r>
    </w:p>
    <w:p>
      <w:pPr>
        <w:pStyle w:val="16"/>
        <w:rPr>
          <w:rFonts w:ascii="Arial" w:hAnsi="Arial" w:cs="Arial"/>
          <w:b/>
          <w:bCs/>
          <w:sz w:val="24"/>
          <w:szCs w:val="24"/>
        </w:rPr>
      </w:pPr>
    </w:p>
    <w:p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Критерии оценки:</w:t>
      </w:r>
    </w:p>
    <w:p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оценка «отлично» выставляется студенту, если </w:t>
      </w:r>
      <w:r>
        <w:rPr>
          <w:rFonts w:ascii="Arial" w:hAnsi="Arial" w:cs="Arial"/>
          <w:iCs/>
          <w:sz w:val="24"/>
          <w:szCs w:val="24"/>
        </w:rPr>
        <w:t xml:space="preserve"> он правильно ответил на 100-90% тестов;</w:t>
      </w:r>
    </w:p>
    <w:p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оценка «хорошо» выставляется студенту, если он правильно ответил на 80-70% тестов;</w:t>
      </w:r>
    </w:p>
    <w:p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оценка «удовлетворительно» выставляется студенту, если он правильно ответил на 60-50% тестов;</w:t>
      </w:r>
    </w:p>
    <w:p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оценка «неудовлетворительно» выставляется студенту, если он правильно ответил на 40-0% тестов.</w:t>
      </w: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19.3.4 Перечень заданий для контрольных работ</w:t>
      </w: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Подготовить сравнительную характеристику однотипных банковских операций: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- формирование доходов КБ и их структура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формирование расходов КБ и их структура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формирование прибыли КБ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 распределение прибыли КБ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оргструктура управления финансами в КБ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кредитные ресурсы КБ, их структура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депозитные операции КБ для физических лиц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депозитные операции КБ для юридических лиц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кредитные операции КБ для физических лиц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кредитные операции КБ для юридических лиц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ипотечное кредитование в КБ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автокредитование в КБ</w:t>
      </w:r>
    </w:p>
    <w:p>
      <w:pPr>
        <w:pStyle w:val="45"/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методика оценки кредитоспособности заемщика  - юр. лица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методика оценки кредитоспособности заемщика – физ. лица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формы обеспечения возвратности банковского кредита (на примере залога, поручительства, гарантий, страхования)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-эмиссионные операции КБ с ценными бумагами</w:t>
      </w:r>
    </w:p>
    <w:p>
      <w:pPr>
        <w:pStyle w:val="45"/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комиссионные операции КБ с ценными бумагами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операции КБ с иностранной валютой (на примере КБ)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операции КБ с драгоценными металлами и камнями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операции КБ по аренде банковских сейфовых ячеек 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информационные услуги КБ</w:t>
      </w:r>
    </w:p>
    <w:p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консультационные услуги КБ</w:t>
      </w:r>
    </w:p>
    <w:p>
      <w:pPr>
        <w:pStyle w:val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объектов сравнения взять два ведущих коммерческих банка, занимающихся их выполнением в настоящее время (например, из следующего перечня):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Сбербанк РФ, 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ВТБ-24 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Альфа-банк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банк Уралсиб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МИнБанк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Банк Русский  стандарт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Банк Хоум кредит  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Юникредит банк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ВТБ </w:t>
      </w:r>
    </w:p>
    <w:p>
      <w:pPr>
        <w:pStyle w:val="45"/>
        <w:numPr>
          <w:ilvl w:val="0"/>
          <w:numId w:val="5"/>
        </w:numPr>
        <w:spacing w:after="200"/>
        <w:ind w:left="1066" w:hanging="357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Роспромбанк и др. </w:t>
      </w: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19.3.5 Темы курсовых работ 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Расчетно-кассовые операции коммерческого банка.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Кредитный потенциал коммерческого банка.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Депозитные операции коммерческого банка.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Депозитные операции коммерческого банка в иностранной валюте.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Валютные операции коммерческого банка.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Валютные риски коммерческого банка и способы их снижения.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Операции коммерческого банка с ценными бумагами.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Кредитные операции коммерческого банка и их совершенствование в современных условиях.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Особенности кредитного процесса в филиале коммерческого банка.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Финансово-кредитная деятельность коммерческого банка: региональный аспект.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Формы обеспечения возвратности банковского кредита и механизм их использования.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Организация деятельности коммерческого банка по обслуживанию физических лиц.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Организация деятельности коммерческого банка по обслуживанию корпоративных клиентов.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Инвестиционное кредитование и тенденции его развития в современных условиях.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Кредитоспособность заемщика коммерческого банка и методики её оценки.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Залоговое обеспечение банковского кредита и его ипотечная форма.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Механизм банковского кредитования и его совершенствование.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 Коммерческий банк как эмитент ценных бумаг.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 Операции коммерческого банка с векселями.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 Потребительское кредитование и тенденции его развития в современных условиях.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 Дистанционное банковское обслуживание и тенденции его развития в РФ.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 Деятельность коммерческих банков по противодействию легализации доходов, полученных преступным путём.</w:t>
      </w:r>
    </w:p>
    <w:p>
      <w:pPr>
        <w:pStyle w:val="45"/>
        <w:numPr>
          <w:ilvl w:val="0"/>
          <w:numId w:val="0"/>
        </w:numPr>
        <w:tabs>
          <w:tab w:val="left" w:pos="284"/>
          <w:tab w:val="left" w:pos="6840"/>
        </w:tabs>
        <w:ind w:left="360" w:leftChars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 Механизм банковского кредитования исполнительных органов власти.</w:t>
      </w: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19.3.6 Темы рефератов </w:t>
      </w:r>
    </w:p>
    <w:p>
      <w:pPr>
        <w:pStyle w:val="6"/>
        <w:numPr>
          <w:ilvl w:val="0"/>
          <w:numId w:val="6"/>
        </w:numPr>
        <w:tabs>
          <w:tab w:val="left" w:pos="540"/>
          <w:tab w:val="left" w:pos="72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Классификация операций коммерческого банка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Организационная структура коммерческого банка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Кассовые операции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Расчетные операции коммерческого банка 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Расчетно-кассовые операции коммерческого банка с использованием пластиковых карт 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Структура ресурсов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Кредитный потенциал коммерческого банка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Управление кредитным потенциалом коммерческого банка 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Депозитные операции коммерческого банка для физ. Лиц.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Депозитные операции коммерческого банка с юридическими лицами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Депозитные операции коммерческого банка в иностранной валюте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Современные депозитные операции коммерческого банка 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Депозитная политика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 активами и пассивами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Валютное регулирование и валютный контроль Банка России на финансовом рынке РФ.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Валютные операции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Валютные риски коммерческого банка и основные способы их снижения.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Операции коммерческого банка с ценными бумагами.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Анализ основных финансово-экономических показателей и его роль в управлении деятельностью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Кредитные операции коммерческого банка и их совершенствование в современных условиях.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кредитным портфелем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Особенности кредитного процесса в филиале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Финансово-кредитная деятельность коммерческого банка: региональный аспект.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Стратегии управления денежными средствами коммерческого банка на фондовом рынке. 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Формы обеспечения возвратности банковского кредита и механизм их использования.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Особенности создания, функционирования и развития финансово-промышленных групп в современных условиях.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портфелем ценных бумаг.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капиталом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ликвидностью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 и управление кредитными рисками в коммерческом банке.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 деятельности коммерческого банка: внешний и внутренний аудит.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персоналом коммерческого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Особенности организации деятельности банка по обслуживанию физических лиц.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Особенности организации деятельности коммерческого банка по обслуживанию корпоративных клиентов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Инвестиционное кредитование и тенденции его развития в современных условиях. 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Кредитоспособность заемщика банка и методики её определения.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Стратегии хеджирования финансовых рисков банка.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Воздействие кредитования на финансовое состояние хозяйствующего субъекта.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Стратегии инвестиционной деятельности коммерческих банков в регионе.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Залоговое обеспечение кредита и его ипотечная форма.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Механизм банковского кредитования и его совершенствование.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 ценных бумаг коммерческим банком.</w:t>
      </w:r>
    </w:p>
    <w:p>
      <w:pPr>
        <w:numPr>
          <w:ilvl w:val="0"/>
          <w:numId w:val="6"/>
        </w:numPr>
        <w:tabs>
          <w:tab w:val="left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Операции коммерческого банка с векселями.</w:t>
      </w:r>
    </w:p>
    <w:p>
      <w:pPr>
        <w:ind w:firstLine="720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Критерии оценки: </w:t>
      </w:r>
    </w:p>
    <w:p>
      <w:pPr>
        <w:pStyle w:val="8"/>
        <w:numPr>
          <w:ilvl w:val="0"/>
          <w:numId w:val="7"/>
        </w:numPr>
        <w:suppressLineNumbers/>
        <w:tabs>
          <w:tab w:val="left" w:pos="1211"/>
        </w:tabs>
        <w:spacing w:after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«отлично» выставляется студенту, если содержание реферата  соответствует заявленной теме, информация актуальна и значима, при написании использовался широкий круг источников, изложение текста аргументировано и логично, студент владеет специальным терминологическим научным аппаратом, тема раскрыта полностью, сопровождается иллюстративным материалом, содержит авторские представления о предмете исследования;</w:t>
      </w:r>
    </w:p>
    <w:p>
      <w:pPr>
        <w:pStyle w:val="8"/>
        <w:numPr>
          <w:ilvl w:val="0"/>
          <w:numId w:val="7"/>
        </w:numPr>
        <w:suppressLineNumbers/>
        <w:tabs>
          <w:tab w:val="left" w:pos="1211"/>
        </w:tabs>
        <w:spacing w:after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«хорошо» выставляется студенту, если содержание реферата соответствует теме, информация актуальна, при написании использовался ограниченный круг источников, изложение аргументировано, студент использует общенаучные термины, но допускает неточности в специальных, тема раскрыта не достаточно полно, сопровождается иллюстративным материалом, который не полностью отражает суть текста, авторское представления о предмете исследования четко не отражено;</w:t>
      </w:r>
    </w:p>
    <w:p>
      <w:pPr>
        <w:pStyle w:val="8"/>
        <w:numPr>
          <w:ilvl w:val="0"/>
          <w:numId w:val="7"/>
        </w:numPr>
        <w:suppressLineNumbers/>
        <w:tabs>
          <w:tab w:val="left" w:pos="1211"/>
        </w:tabs>
        <w:spacing w:after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«удовлетворительно» выставляется студенту, если содержание реферата  соответствует теме, информация актуальна и значима, при написании использовался узкий круг источников, студент не объясняет сути содержания, не использует специального терминологического аппарата, реферат не сопровождается иллюстративным материалом, не содержит авторского представления о предмете исследования;</w:t>
      </w:r>
    </w:p>
    <w:p>
      <w:pPr>
        <w:pStyle w:val="8"/>
        <w:numPr>
          <w:ilvl w:val="0"/>
          <w:numId w:val="7"/>
        </w:numPr>
        <w:suppressLineNumbers/>
        <w:tabs>
          <w:tab w:val="left" w:pos="1211"/>
        </w:tabs>
        <w:spacing w:after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«неудовлетворительно», если реферат не соответствует теме или последняя не раскрыта,  использован один источник без ссылки на него, реферат не сопровождается иллюстративным материалом, не содержит авторского представления о предмете исследования.</w:t>
      </w:r>
    </w:p>
    <w:p>
      <w:pPr>
        <w:pStyle w:val="15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 устного опроса (индивидуальный опрос, фронтальная беседа, доклады)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; </w:t>
      </w:r>
      <w:r>
        <w:rPr>
          <w:rFonts w:ascii="Arial" w:hAnsi="Arial" w:cs="Arial"/>
          <w:sz w:val="24"/>
          <w:szCs w:val="24"/>
          <w:lang w:eastAsia="en-US"/>
        </w:rPr>
        <w:t>письменных работ (контрольные, рефераты, тестирования.  Критерии оценивания приведены выше.</w:t>
      </w:r>
    </w:p>
    <w:p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>
      <w:pPr>
        <w:tabs>
          <w:tab w:val="left" w:pos="851"/>
          <w:tab w:val="left" w:pos="993"/>
        </w:tabs>
        <w:ind w:firstLine="426"/>
        <w:jc w:val="both"/>
      </w:pPr>
      <w:r>
        <w:rPr>
          <w:rFonts w:ascii="Arial" w:hAnsi="Arial" w:cs="Arial"/>
          <w:sz w:val="24"/>
          <w:szCs w:val="24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</w:t>
      </w:r>
      <w:r>
        <w:rPr>
          <w:rFonts w:ascii="Arial" w:hAnsi="Arial" w:cs="Arial"/>
          <w:color w:val="5B9BD5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шкалы оценок. Критерии оценивания приведены выше.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>
      <w:pPr>
        <w:spacing w:after="240"/>
        <w:jc w:val="center"/>
      </w:pPr>
    </w:p>
    <w:sectPr>
      <w:headerReference r:id="rId3" w:type="first"/>
      <w:footerReference r:id="rId4" w:type="default"/>
      <w:footerReference r:id="rId5" w:type="even"/>
      <w:footnotePr>
        <w:numFmt w:val="chicago"/>
      </w:footnotePr>
      <w:pgSz w:w="11906" w:h="16838"/>
      <w:pgMar w:top="993" w:right="567" w:bottom="993" w:left="1134" w:header="709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altName w:val="Kedage"/>
    <w:panose1 w:val="00000000000000000000"/>
    <w:charset w:val="CC"/>
    <w:family w:val="swiss"/>
    <w:pitch w:val="default"/>
    <w:sig w:usb0="00000000" w:usb1="00000000" w:usb2="00000000" w:usb3="00000000" w:csb0="0000003F" w:csb1="00000000"/>
  </w:font>
  <w:font w:name="Segoe UI">
    <w:altName w:val="FreeSans"/>
    <w:panose1 w:val="020B0502040204020203"/>
    <w:charset w:val="CC"/>
    <w:family w:val="swiss"/>
    <w:pitch w:val="default"/>
    <w:sig w:usb0="00000000" w:usb1="00000000" w:usb2="00000009" w:usb3="00000000" w:csb0="000001DF" w:csb1="00000000"/>
  </w:font>
  <w:font w:name="MS Mincho">
    <w:altName w:val="Droid Sans Japanese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Liberation Serif">
    <w:panose1 w:val="02020603050405020304"/>
    <w:charset w:val="01"/>
    <w:family w:val="decorative"/>
    <w:pitch w:val="default"/>
    <w:sig w:usb0="A00002AF" w:usb1="500078FB" w:usb2="00000000" w:usb3="00000000" w:csb0="6000009F" w:csb1="DFD70000"/>
  </w:font>
  <w:font w:name="Calibri Light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modern"/>
    <w:pitch w:val="default"/>
    <w:sig w:usb0="A00002AF" w:usb1="500078FB" w:usb2="00000000" w:usb3="00000000" w:csb0="6000009F" w:csb1="DFD7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tC">
    <w:altName w:val="Kedage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Times New Roman Greek">
    <w:altName w:val="DejaVu Sans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10346"/>
        <w:tab w:val="clear" w:pos="9355"/>
      </w:tabs>
      <w:jc w:val="center"/>
      <w:rPr>
        <w:rFonts w:ascii="Arial" w:hAnsi="Arial" w:cs="Arial"/>
        <w:b/>
        <w:sz w:val="24"/>
        <w:szCs w:val="24"/>
      </w:rPr>
    </w:pPr>
    <w:r>
      <w:fldChar w:fldCharType="begin"/>
    </w:r>
    <w:r>
      <w:instrText xml:space="preserve"> HYPERLINK "file:///Z:\\..\\kunakovskaya\\Desktop\\www.vsu.ru" </w:instrText>
    </w:r>
    <w:r>
      <w:fldChar w:fldCharType="separate"/>
    </w:r>
    <w:r>
      <w:rPr>
        <w:rStyle w:val="22"/>
        <w:rFonts w:ascii="Arial" w:hAnsi="Arial" w:cs="Arial"/>
        <w:b/>
        <w:sz w:val="24"/>
        <w:szCs w:val="24"/>
        <w:lang w:val="en-US"/>
      </w:rPr>
      <w:t>www</w:t>
    </w:r>
    <w:r>
      <w:rPr>
        <w:rStyle w:val="22"/>
        <w:rFonts w:ascii="Arial" w:hAnsi="Arial" w:cs="Arial"/>
        <w:b/>
        <w:sz w:val="24"/>
        <w:szCs w:val="24"/>
      </w:rPr>
      <w:t>.</w:t>
    </w:r>
    <w:r>
      <w:rPr>
        <w:rStyle w:val="22"/>
        <w:rFonts w:ascii="Arial" w:hAnsi="Arial" w:cs="Arial"/>
        <w:b/>
        <w:sz w:val="24"/>
        <w:szCs w:val="24"/>
        <w:lang w:val="en-US"/>
      </w:rPr>
      <w:t>vsu</w:t>
    </w:r>
    <w:r>
      <w:rPr>
        <w:rStyle w:val="22"/>
        <w:rFonts w:ascii="Arial" w:hAnsi="Arial" w:cs="Arial"/>
        <w:b/>
        <w:sz w:val="24"/>
        <w:szCs w:val="24"/>
      </w:rPr>
      <w:t>.</w:t>
    </w:r>
    <w:r>
      <w:rPr>
        <w:rStyle w:val="22"/>
        <w:rFonts w:ascii="Arial" w:hAnsi="Arial" w:cs="Arial"/>
        <w:b/>
        <w:sz w:val="24"/>
        <w:szCs w:val="24"/>
        <w:lang w:val="en-US"/>
      </w:rPr>
      <w:t>ru</w:t>
    </w:r>
    <w:r>
      <w:rPr>
        <w:rStyle w:val="22"/>
        <w:rFonts w:ascii="Arial" w:hAnsi="Arial" w:cs="Arial"/>
        <w:b/>
        <w:sz w:val="24"/>
        <w:szCs w:val="24"/>
        <w:lang w:val="en-US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>П ВГУ 2.1.02 – 2017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7001103">
    <w:nsid w:val="6192A78F"/>
    <w:multiLevelType w:val="singleLevel"/>
    <w:tmpl w:val="6192A78F"/>
    <w:lvl w:ilvl="0" w:tentative="1">
      <w:start w:val="9"/>
      <w:numFmt w:val="decimal"/>
      <w:suff w:val="nothing"/>
      <w:lvlText w:val="%1."/>
      <w:lvlJc w:val="left"/>
    </w:lvl>
  </w:abstractNum>
  <w:abstractNum w:abstractNumId="1395665809">
    <w:nsid w:val="53302B91"/>
    <w:multiLevelType w:val="multilevel"/>
    <w:tmpl w:val="53302B91"/>
    <w:lvl w:ilvl="0" w:tentative="1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21193071">
    <w:nsid w:val="42D40C6F"/>
    <w:multiLevelType w:val="multilevel"/>
    <w:tmpl w:val="42D40C6F"/>
    <w:lvl w:ilvl="0" w:tentative="1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 w:tentative="1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407263128">
    <w:nsid w:val="53E12198"/>
    <w:multiLevelType w:val="multilevel"/>
    <w:tmpl w:val="53E12198"/>
    <w:lvl w:ilvl="0" w:tentative="1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lowerRoman"/>
      <w:lvlText w:val="%3."/>
      <w:lvlJc w:val="right"/>
      <w:pPr>
        <w:ind w:left="2144" w:hanging="180"/>
      </w:pPr>
    </w:lvl>
    <w:lvl w:ilvl="3" w:tentative="1">
      <w:start w:val="1"/>
      <w:numFmt w:val="decimal"/>
      <w:lvlText w:val="%4."/>
      <w:lvlJc w:val="left"/>
      <w:pPr>
        <w:ind w:left="2864" w:hanging="360"/>
      </w:pPr>
    </w:lvl>
    <w:lvl w:ilvl="4" w:tentative="1">
      <w:start w:val="1"/>
      <w:numFmt w:val="lowerLetter"/>
      <w:lvlText w:val="%5.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78569118">
    <w:nsid w:val="2E68059E"/>
    <w:multiLevelType w:val="multilevel"/>
    <w:tmpl w:val="2E68059E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8114191">
    <w:nsid w:val="594B688F"/>
    <w:multiLevelType w:val="multilevel"/>
    <w:tmpl w:val="594B688F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37716124">
    <w:nsid w:val="5BA7AF9C"/>
    <w:multiLevelType w:val="multilevel"/>
    <w:tmpl w:val="5BA7AF9C"/>
    <w:lvl w:ilvl="0" w:tentative="1">
      <w:start w:val="2"/>
      <w:numFmt w:val="bullet"/>
      <w:lvlText w:val="-"/>
      <w:lvlJc w:val="left"/>
      <w:pPr>
        <w:tabs>
          <w:tab w:val="left" w:pos="1211"/>
        </w:tabs>
        <w:ind w:firstLine="851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  <w:rPr>
        <w:rFonts w:hint="default" w:cs="Times New Roman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637001103"/>
  </w:num>
  <w:num w:numId="2">
    <w:abstractNumId w:val="1395665809"/>
  </w:num>
  <w:num w:numId="3">
    <w:abstractNumId w:val="1407263128"/>
  </w:num>
  <w:num w:numId="4">
    <w:abstractNumId w:val="1121193071"/>
  </w:num>
  <w:num w:numId="5">
    <w:abstractNumId w:val="778569118"/>
  </w:num>
  <w:num w:numId="6">
    <w:abstractNumId w:val="1498114191"/>
  </w:num>
  <w:num w:numId="7">
    <w:abstractNumId w:val="15377161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footnotePr>
    <w:numFmt w:val="chicago"/>
  </w:footnotePr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38"/>
    <w:rsid w:val="00004EE7"/>
    <w:rsid w:val="00013D91"/>
    <w:rsid w:val="000415C0"/>
    <w:rsid w:val="00051664"/>
    <w:rsid w:val="0007262B"/>
    <w:rsid w:val="000929BE"/>
    <w:rsid w:val="000D4E30"/>
    <w:rsid w:val="000E4828"/>
    <w:rsid w:val="000F126C"/>
    <w:rsid w:val="00147383"/>
    <w:rsid w:val="001530A6"/>
    <w:rsid w:val="00197C3A"/>
    <w:rsid w:val="001A4B98"/>
    <w:rsid w:val="001C703B"/>
    <w:rsid w:val="00200ADC"/>
    <w:rsid w:val="0020636B"/>
    <w:rsid w:val="00212EEB"/>
    <w:rsid w:val="0023238A"/>
    <w:rsid w:val="00235A7B"/>
    <w:rsid w:val="00251B26"/>
    <w:rsid w:val="0025489E"/>
    <w:rsid w:val="00264B29"/>
    <w:rsid w:val="002700E2"/>
    <w:rsid w:val="00277055"/>
    <w:rsid w:val="002A120B"/>
    <w:rsid w:val="002C254D"/>
    <w:rsid w:val="00311340"/>
    <w:rsid w:val="0032562B"/>
    <w:rsid w:val="0032618A"/>
    <w:rsid w:val="00335E9E"/>
    <w:rsid w:val="003577D0"/>
    <w:rsid w:val="003802F3"/>
    <w:rsid w:val="0039198C"/>
    <w:rsid w:val="00391C53"/>
    <w:rsid w:val="003F7257"/>
    <w:rsid w:val="00410D0F"/>
    <w:rsid w:val="00414897"/>
    <w:rsid w:val="00433A1C"/>
    <w:rsid w:val="00455538"/>
    <w:rsid w:val="00490FF5"/>
    <w:rsid w:val="004C0475"/>
    <w:rsid w:val="004D0DB4"/>
    <w:rsid w:val="004E5735"/>
    <w:rsid w:val="004F1153"/>
    <w:rsid w:val="004F1712"/>
    <w:rsid w:val="0050449F"/>
    <w:rsid w:val="00513C86"/>
    <w:rsid w:val="00547FF4"/>
    <w:rsid w:val="005566A0"/>
    <w:rsid w:val="0057229F"/>
    <w:rsid w:val="00573321"/>
    <w:rsid w:val="00591C5C"/>
    <w:rsid w:val="005A765E"/>
    <w:rsid w:val="005B5284"/>
    <w:rsid w:val="005E3591"/>
    <w:rsid w:val="005F607E"/>
    <w:rsid w:val="00604B3A"/>
    <w:rsid w:val="00637515"/>
    <w:rsid w:val="00654CBE"/>
    <w:rsid w:val="00674CE3"/>
    <w:rsid w:val="0069238D"/>
    <w:rsid w:val="00692991"/>
    <w:rsid w:val="00695DC2"/>
    <w:rsid w:val="006974BD"/>
    <w:rsid w:val="006A57C7"/>
    <w:rsid w:val="006B3ADA"/>
    <w:rsid w:val="006B538D"/>
    <w:rsid w:val="006C1FB2"/>
    <w:rsid w:val="006E7D88"/>
    <w:rsid w:val="006F3C03"/>
    <w:rsid w:val="0070715A"/>
    <w:rsid w:val="007155DC"/>
    <w:rsid w:val="007409EC"/>
    <w:rsid w:val="00750C38"/>
    <w:rsid w:val="00770A03"/>
    <w:rsid w:val="00774BD1"/>
    <w:rsid w:val="00782321"/>
    <w:rsid w:val="00795257"/>
    <w:rsid w:val="007A1331"/>
    <w:rsid w:val="007B6D9D"/>
    <w:rsid w:val="0082000C"/>
    <w:rsid w:val="008308BE"/>
    <w:rsid w:val="00831B47"/>
    <w:rsid w:val="00861E8F"/>
    <w:rsid w:val="008C231C"/>
    <w:rsid w:val="008E1E43"/>
    <w:rsid w:val="00900D77"/>
    <w:rsid w:val="00921BAD"/>
    <w:rsid w:val="00974606"/>
    <w:rsid w:val="0098552D"/>
    <w:rsid w:val="00987293"/>
    <w:rsid w:val="009A6763"/>
    <w:rsid w:val="009C63A3"/>
    <w:rsid w:val="009F5163"/>
    <w:rsid w:val="00A0164E"/>
    <w:rsid w:val="00A077F4"/>
    <w:rsid w:val="00A10DBF"/>
    <w:rsid w:val="00A30204"/>
    <w:rsid w:val="00A3187B"/>
    <w:rsid w:val="00A33CCC"/>
    <w:rsid w:val="00A4159C"/>
    <w:rsid w:val="00A77D67"/>
    <w:rsid w:val="00A819C1"/>
    <w:rsid w:val="00AD7031"/>
    <w:rsid w:val="00AF2087"/>
    <w:rsid w:val="00AF278E"/>
    <w:rsid w:val="00B03FDC"/>
    <w:rsid w:val="00B15528"/>
    <w:rsid w:val="00B30716"/>
    <w:rsid w:val="00B348BA"/>
    <w:rsid w:val="00B56DDB"/>
    <w:rsid w:val="00B83FE0"/>
    <w:rsid w:val="00BE4E90"/>
    <w:rsid w:val="00BF1F5D"/>
    <w:rsid w:val="00C0434F"/>
    <w:rsid w:val="00C045FA"/>
    <w:rsid w:val="00C25D45"/>
    <w:rsid w:val="00C90087"/>
    <w:rsid w:val="00C940C9"/>
    <w:rsid w:val="00CC4646"/>
    <w:rsid w:val="00CE2A17"/>
    <w:rsid w:val="00D2674A"/>
    <w:rsid w:val="00D3237B"/>
    <w:rsid w:val="00D43E48"/>
    <w:rsid w:val="00D67331"/>
    <w:rsid w:val="00D848FB"/>
    <w:rsid w:val="00D91599"/>
    <w:rsid w:val="00DA670C"/>
    <w:rsid w:val="00E26EE4"/>
    <w:rsid w:val="00E86D21"/>
    <w:rsid w:val="00EA1DD9"/>
    <w:rsid w:val="00EA364F"/>
    <w:rsid w:val="00EB0B88"/>
    <w:rsid w:val="00ED1D8E"/>
    <w:rsid w:val="00EE086C"/>
    <w:rsid w:val="00F16530"/>
    <w:rsid w:val="00F22913"/>
    <w:rsid w:val="00F3719F"/>
    <w:rsid w:val="00F52B58"/>
    <w:rsid w:val="00F636C2"/>
    <w:rsid w:val="00F87EA2"/>
    <w:rsid w:val="00F96716"/>
    <w:rsid w:val="00FA1267"/>
    <w:rsid w:val="00FA6E0F"/>
    <w:rsid w:val="00FB7988"/>
    <w:rsid w:val="00FD1C61"/>
    <w:rsid w:val="00FE631A"/>
    <w:rsid w:val="00FF5C6D"/>
    <w:rsid w:val="0DF501E9"/>
    <w:rsid w:val="13B648DF"/>
    <w:rsid w:val="2FFBE8B6"/>
    <w:rsid w:val="3FCD0489"/>
    <w:rsid w:val="4CFF9BA2"/>
    <w:rsid w:val="55CA9057"/>
    <w:rsid w:val="596DE14E"/>
    <w:rsid w:val="5D5F00BA"/>
    <w:rsid w:val="5F5F12B2"/>
    <w:rsid w:val="63BF9AAA"/>
    <w:rsid w:val="67BEEF30"/>
    <w:rsid w:val="6D7B34DF"/>
    <w:rsid w:val="6DBDD13D"/>
    <w:rsid w:val="79EF6F96"/>
    <w:rsid w:val="79F9D55D"/>
    <w:rsid w:val="7AAB110D"/>
    <w:rsid w:val="7BCF1D6C"/>
    <w:rsid w:val="7D6F64D5"/>
    <w:rsid w:val="7EF649E1"/>
    <w:rsid w:val="7F5F7563"/>
    <w:rsid w:val="7F7F12C3"/>
    <w:rsid w:val="7F9512CD"/>
    <w:rsid w:val="7FF9A2EA"/>
    <w:rsid w:val="7FFFB42F"/>
    <w:rsid w:val="9FF7E095"/>
    <w:rsid w:val="AF7FDEE7"/>
    <w:rsid w:val="B8FFB3B8"/>
    <w:rsid w:val="BDFCE1ED"/>
    <w:rsid w:val="CBD4DCA4"/>
    <w:rsid w:val="D91E1B60"/>
    <w:rsid w:val="DBDFD388"/>
    <w:rsid w:val="DEB7871F"/>
    <w:rsid w:val="DF73B4A5"/>
    <w:rsid w:val="DFBFCE15"/>
    <w:rsid w:val="DFF718EF"/>
    <w:rsid w:val="DFFD923B"/>
    <w:rsid w:val="EFDF8264"/>
    <w:rsid w:val="EFE5C5A1"/>
    <w:rsid w:val="F6BF24F0"/>
    <w:rsid w:val="FA5735A3"/>
    <w:rsid w:val="FB4E614C"/>
    <w:rsid w:val="FEE87992"/>
    <w:rsid w:val="FEFFCC3D"/>
    <w:rsid w:val="FFEB3292"/>
    <w:rsid w:val="FFFE350C"/>
  </w:rsids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4"/>
    <w:basedOn w:val="1"/>
    <w:next w:val="1"/>
    <w:link w:val="27"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3">
    <w:name w:val="heading 5"/>
    <w:basedOn w:val="1"/>
    <w:next w:val="1"/>
    <w:link w:val="28"/>
    <w:qFormat/>
    <w:uiPriority w:val="0"/>
    <w:pPr>
      <w:keepNext/>
      <w:outlineLvl w:val="4"/>
    </w:pPr>
    <w:rPr>
      <w:sz w:val="28"/>
    </w:rPr>
  </w:style>
  <w:style w:type="paragraph" w:styleId="4">
    <w:name w:val="heading 9"/>
    <w:basedOn w:val="1"/>
    <w:next w:val="1"/>
    <w:link w:val="2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unhideWhenUsed/>
    <w:uiPriority w:val="1"/>
  </w:style>
  <w:style w:type="table" w:default="1" w:styleId="2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42"/>
    <w:uiPriority w:val="0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32"/>
    <w:qFormat/>
    <w:uiPriority w:val="0"/>
    <w:pPr>
      <w:spacing w:after="120" w:line="480" w:lineRule="auto"/>
    </w:pPr>
  </w:style>
  <w:style w:type="paragraph" w:styleId="7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8">
    <w:name w:val="Body Text Indent"/>
    <w:basedOn w:val="1"/>
    <w:link w:val="35"/>
    <w:qFormat/>
    <w:uiPriority w:val="0"/>
    <w:pPr>
      <w:spacing w:after="120"/>
      <w:ind w:left="283"/>
    </w:pPr>
  </w:style>
  <w:style w:type="paragraph" w:styleId="9">
    <w:name w:val="Body Text Indent 2"/>
    <w:basedOn w:val="1"/>
    <w:link w:val="30"/>
    <w:qFormat/>
    <w:uiPriority w:val="0"/>
    <w:pPr>
      <w:ind w:firstLine="851"/>
    </w:pPr>
    <w:rPr>
      <w:sz w:val="28"/>
    </w:rPr>
  </w:style>
  <w:style w:type="paragraph" w:styleId="10">
    <w:name w:val="Body Text Indent 3"/>
    <w:basedOn w:val="1"/>
    <w:link w:val="36"/>
    <w:qFormat/>
    <w:uiPriority w:val="0"/>
    <w:pPr>
      <w:spacing w:after="120"/>
      <w:ind w:left="283"/>
    </w:pPr>
    <w:rPr>
      <w:sz w:val="16"/>
      <w:szCs w:val="16"/>
    </w:rPr>
  </w:style>
  <w:style w:type="paragraph" w:styleId="11">
    <w:name w:val="caption"/>
    <w:basedOn w:val="1"/>
    <w:next w:val="1"/>
    <w:qFormat/>
    <w:uiPriority w:val="0"/>
    <w:pPr>
      <w:spacing w:before="120" w:line="360" w:lineRule="auto"/>
      <w:ind w:left="539"/>
    </w:pPr>
    <w:rPr>
      <w:b/>
      <w:bCs/>
      <w:sz w:val="24"/>
      <w:szCs w:val="24"/>
    </w:rPr>
  </w:style>
  <w:style w:type="paragraph" w:styleId="12">
    <w:name w:val="footer"/>
    <w:basedOn w:val="1"/>
    <w:link w:val="39"/>
    <w:uiPriority w:val="99"/>
    <w:pPr>
      <w:tabs>
        <w:tab w:val="center" w:pos="4677"/>
        <w:tab w:val="right" w:pos="9355"/>
      </w:tabs>
    </w:pPr>
  </w:style>
  <w:style w:type="paragraph" w:styleId="13">
    <w:name w:val="footnote text"/>
    <w:basedOn w:val="1"/>
    <w:link w:val="44"/>
    <w:qFormat/>
    <w:uiPriority w:val="99"/>
  </w:style>
  <w:style w:type="paragraph" w:styleId="14">
    <w:name w:val="header"/>
    <w:basedOn w:val="1"/>
    <w:link w:val="31"/>
    <w:qFormat/>
    <w:uiPriority w:val="0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6">
    <w:name w:val="Plain Text"/>
    <w:basedOn w:val="1"/>
    <w:link w:val="33"/>
    <w:uiPriority w:val="0"/>
    <w:rPr>
      <w:rFonts w:ascii="Courier New" w:hAnsi="Courier New" w:cs="Courier New"/>
    </w:rPr>
  </w:style>
  <w:style w:type="paragraph" w:styleId="17">
    <w:name w:val="Title"/>
    <w:basedOn w:val="1"/>
    <w:link w:val="37"/>
    <w:qFormat/>
    <w:uiPriority w:val="0"/>
    <w:pPr>
      <w:jc w:val="center"/>
    </w:pPr>
    <w:rPr>
      <w:sz w:val="28"/>
    </w:rPr>
  </w:style>
  <w:style w:type="character" w:styleId="19">
    <w:name w:val="Emphasis"/>
    <w:qFormat/>
    <w:uiPriority w:val="0"/>
    <w:rPr>
      <w:spacing w:val="48"/>
    </w:rPr>
  </w:style>
  <w:style w:type="character" w:styleId="20">
    <w:name w:val="FollowedHyperlink"/>
    <w:uiPriority w:val="0"/>
    <w:rPr>
      <w:color w:val="800080"/>
      <w:u w:val="single"/>
    </w:rPr>
  </w:style>
  <w:style w:type="character" w:styleId="21">
    <w:name w:val="footnote reference"/>
    <w:qFormat/>
    <w:uiPriority w:val="99"/>
    <w:rPr>
      <w:rFonts w:cs="Times New Roman"/>
      <w:vertAlign w:val="superscript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page number"/>
    <w:basedOn w:val="18"/>
    <w:uiPriority w:val="99"/>
  </w:style>
  <w:style w:type="character" w:styleId="24">
    <w:name w:val="Strong"/>
    <w:qFormat/>
    <w:uiPriority w:val="0"/>
    <w:rPr>
      <w:b/>
      <w:bCs/>
    </w:rPr>
  </w:style>
  <w:style w:type="table" w:styleId="26">
    <w:name w:val="Table Grid"/>
    <w:basedOn w:val="25"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4 Знак"/>
    <w:link w:val="2"/>
    <w:uiPriority w:val="0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5 Знак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9">
    <w:name w:val="Заголовок 9 Знак"/>
    <w:link w:val="4"/>
    <w:uiPriority w:val="0"/>
    <w:rPr>
      <w:rFonts w:ascii="Arial" w:hAnsi="Arial" w:eastAsia="Times New Roman" w:cs="Arial"/>
      <w:lang w:eastAsia="ru-RU"/>
    </w:rPr>
  </w:style>
  <w:style w:type="character" w:customStyle="1" w:styleId="30">
    <w:name w:val="Основной текст с отступом 2 Знак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1">
    <w:name w:val="Верхний колонтитул Знак"/>
    <w:link w:val="14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2">
    <w:name w:val="Основной текст 2 Знак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3">
    <w:name w:val="Текст Знак"/>
    <w:link w:val="16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4">
    <w:name w:val="Основной текст 3 Знак"/>
    <w:link w:val="7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Знак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6">
    <w:name w:val="Основной текст с отступом 3 Знак"/>
    <w:link w:val="10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7">
    <w:name w:val="Название Знак"/>
    <w:link w:val="1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8">
    <w:name w:val="Обычный1"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9">
    <w:name w:val="Нижний колонтитул Знак"/>
    <w:link w:val="1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0">
    <w:name w:val="Без интервала1"/>
    <w:qFormat/>
    <w:uiPriority w:val="0"/>
    <w:rPr>
      <w:rFonts w:ascii="Calibri" w:hAnsi="Calibri" w:eastAsia="Calibri" w:cs="Times New Roman"/>
      <w:i/>
      <w:sz w:val="18"/>
      <w:szCs w:val="22"/>
      <w:lang w:val="ru-RU" w:eastAsia="en-US" w:bidi="ar-SA"/>
    </w:rPr>
  </w:style>
  <w:style w:type="paragraph" w:customStyle="1" w:styleId="41">
    <w:name w:val="Для таблиц"/>
    <w:basedOn w:val="1"/>
    <w:qFormat/>
    <w:uiPriority w:val="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42">
    <w:name w:val="Текст выноски Знак"/>
    <w:link w:val="5"/>
    <w:uiPriority w:val="0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43">
    <w:name w:val="ConsPlusNormal"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44">
    <w:name w:val="Текст сноски Знак"/>
    <w:link w:val="1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lk"/>
    <w:basedOn w:val="1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18</Pages>
  <Words>6820</Words>
  <Characters>38878</Characters>
  <Lines>323</Lines>
  <Paragraphs>91</Paragraphs>
  <TotalTime>0</TotalTime>
  <ScaleCrop>false</ScaleCrop>
  <LinksUpToDate>false</LinksUpToDate>
  <CharactersWithSpaces>45607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2017-07-11T17:29:00Z</dcterms:created>
  <dc:creator>Карина</dc:creator>
  <cp:lastModifiedBy>zatonskikh@econ.vsu.ru</cp:lastModifiedBy>
  <cp:lastPrinted>2017-07-09T06:48:00Z</cp:lastPrinted>
  <dcterms:modified xsi:type="dcterms:W3CDTF">2023-10-02T09:00:13Z</dcterms:modified>
  <dc:title>МИНОБРНАУКИ РОССИИ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25-10.1.0.5707</vt:lpwstr>
  </property>
</Properties>
</file>