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02" w:rsidRPr="00041702" w:rsidRDefault="00041702">
      <w:pPr>
        <w:pStyle w:val="ConsPlusNormal"/>
        <w:rPr>
          <w:sz w:val="22"/>
          <w:szCs w:val="22"/>
        </w:rPr>
      </w:pPr>
      <w:r w:rsidRPr="00041702">
        <w:rPr>
          <w:sz w:val="22"/>
          <w:szCs w:val="22"/>
        </w:rPr>
        <w:t>Зарегистрировано в Минюсте России 14 апреля 2015 г. N 36844</w:t>
      </w:r>
    </w:p>
    <w:p w:rsidR="00041702" w:rsidRPr="00041702" w:rsidRDefault="00041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rPr>
          <w:sz w:val="22"/>
          <w:szCs w:val="22"/>
        </w:rPr>
      </w:pP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МИНИСТЕРСТВО ОБРАЗОВАНИЯ И НАУКИ РОССИЙСКОЙ ФЕДЕРАЦИИ</w:t>
      </w: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ПРИКАЗ</w:t>
      </w: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от 12 марта 2015 г. N 228</w:t>
      </w: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ОБ УТВЕРЖДЕНИИ</w:t>
      </w: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ФЕДЕРАЛЬНОГО ГОСУДАРСТВЕННОГО ОБРАЗОВАТЕЛЬНОГО СТАНДАРТА</w:t>
      </w: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ВЫСШЕГО ОБРАЗОВАНИЯ ПО НАПРАВЛЕНИЮ ПОДГОТОВКИ 01.03.02</w:t>
      </w: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ПРИКЛАДНАЯ МАТЕМАТИКА И ИНФОРМАТИКА (УРОВЕНЬ БАКАЛАВРИАТА)</w:t>
      </w: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Список изменяющих документов</w:t>
      </w: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 xml:space="preserve">(в ред. </w:t>
      </w:r>
      <w:hyperlink r:id="rId4" w:history="1">
        <w:r w:rsidRPr="00041702">
          <w:rPr>
            <w:color w:val="0000FF"/>
            <w:sz w:val="22"/>
            <w:szCs w:val="22"/>
          </w:rPr>
          <w:t>Приказа</w:t>
        </w:r>
      </w:hyperlink>
      <w:r w:rsidRPr="00041702">
        <w:rPr>
          <w:sz w:val="22"/>
          <w:szCs w:val="22"/>
        </w:rPr>
        <w:t xml:space="preserve"> </w:t>
      </w:r>
      <w:proofErr w:type="spellStart"/>
      <w:r w:rsidRPr="00041702">
        <w:rPr>
          <w:sz w:val="22"/>
          <w:szCs w:val="22"/>
        </w:rPr>
        <w:t>Минобрнауки</w:t>
      </w:r>
      <w:proofErr w:type="spellEnd"/>
      <w:r w:rsidRPr="00041702">
        <w:rPr>
          <w:sz w:val="22"/>
          <w:szCs w:val="22"/>
        </w:rPr>
        <w:t xml:space="preserve"> России от 09.09.2015 N 999)</w:t>
      </w: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В соответствии с </w:t>
      </w:r>
      <w:hyperlink r:id="rId5" w:history="1">
        <w:r w:rsidRPr="00041702">
          <w:rPr>
            <w:color w:val="0000FF"/>
            <w:sz w:val="22"/>
            <w:szCs w:val="22"/>
          </w:rPr>
          <w:t>подпунктом 5.2.41</w:t>
        </w:r>
      </w:hyperlink>
      <w:r w:rsidRPr="00041702">
        <w:rPr>
          <w:sz w:val="22"/>
          <w:szCs w:val="22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6" w:history="1">
        <w:r w:rsidRPr="00041702">
          <w:rPr>
            <w:color w:val="0000FF"/>
            <w:sz w:val="22"/>
            <w:szCs w:val="22"/>
          </w:rPr>
          <w:t>пунктом 17</w:t>
        </w:r>
      </w:hyperlink>
      <w:r w:rsidRPr="00041702">
        <w:rPr>
          <w:sz w:val="22"/>
          <w:szCs w:val="22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1. Утвердить прилагаемый федеральный государственный образовательный </w:t>
      </w:r>
      <w:hyperlink w:anchor="P36" w:history="1">
        <w:r w:rsidRPr="00041702">
          <w:rPr>
            <w:color w:val="0000FF"/>
            <w:sz w:val="22"/>
            <w:szCs w:val="22"/>
          </w:rPr>
          <w:t>стандарт</w:t>
        </w:r>
      </w:hyperlink>
      <w:r w:rsidRPr="00041702">
        <w:rPr>
          <w:sz w:val="22"/>
          <w:szCs w:val="22"/>
        </w:rPr>
        <w:t xml:space="preserve"> высшего образования по направлению подготовки 01.03.02 Прикладная математика и информатика (уровень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2. Признать утратившими силу: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hyperlink r:id="rId7" w:history="1">
        <w:r w:rsidRPr="00041702">
          <w:rPr>
            <w:color w:val="0000FF"/>
            <w:sz w:val="22"/>
            <w:szCs w:val="22"/>
          </w:rPr>
          <w:t>приказ</w:t>
        </w:r>
      </w:hyperlink>
      <w:r w:rsidRPr="00041702">
        <w:rPr>
          <w:sz w:val="22"/>
          <w:szCs w:val="22"/>
        </w:rPr>
        <w:t xml:space="preserve"> Министерства образования и науки Российской Федерации от 20 мая 2010 г. N 538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010400 Прикладная математика и информатика (квалификация (степень) "бакалавр")" (зарегистрирован Министерством юстиции Российской Федерации 20 июля 2010 г., регистрационный N 17916);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hyperlink r:id="rId8" w:history="1">
        <w:r w:rsidRPr="00041702">
          <w:rPr>
            <w:color w:val="0000FF"/>
            <w:sz w:val="22"/>
            <w:szCs w:val="22"/>
          </w:rPr>
          <w:t>пункт 4</w:t>
        </w:r>
      </w:hyperlink>
      <w:r w:rsidRPr="00041702">
        <w:rPr>
          <w:sz w:val="22"/>
          <w:szCs w:val="22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</w:p>
    <w:p w:rsidR="00041702" w:rsidRPr="00041702" w:rsidRDefault="00041702">
      <w:pPr>
        <w:pStyle w:val="ConsPlusNormal"/>
        <w:jc w:val="right"/>
        <w:rPr>
          <w:sz w:val="22"/>
          <w:szCs w:val="22"/>
        </w:rPr>
      </w:pPr>
      <w:r w:rsidRPr="00041702">
        <w:rPr>
          <w:sz w:val="22"/>
          <w:szCs w:val="22"/>
        </w:rPr>
        <w:t>Министр</w:t>
      </w:r>
    </w:p>
    <w:p w:rsidR="00041702" w:rsidRPr="00041702" w:rsidRDefault="00041702">
      <w:pPr>
        <w:pStyle w:val="ConsPlusNormal"/>
        <w:jc w:val="right"/>
        <w:rPr>
          <w:sz w:val="22"/>
          <w:szCs w:val="22"/>
        </w:rPr>
      </w:pPr>
      <w:r w:rsidRPr="00041702">
        <w:rPr>
          <w:sz w:val="22"/>
          <w:szCs w:val="22"/>
        </w:rPr>
        <w:t>Д.В.ЛИВАНОВ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</w:p>
    <w:p w:rsidR="00041702" w:rsidRPr="00041702" w:rsidRDefault="00041702">
      <w:pPr>
        <w:pStyle w:val="ConsPlusNormal"/>
        <w:jc w:val="right"/>
        <w:rPr>
          <w:sz w:val="22"/>
          <w:szCs w:val="22"/>
        </w:rPr>
      </w:pPr>
      <w:r w:rsidRPr="00041702">
        <w:rPr>
          <w:sz w:val="22"/>
          <w:szCs w:val="22"/>
        </w:rPr>
        <w:t>Приложение</w:t>
      </w:r>
    </w:p>
    <w:p w:rsidR="00041702" w:rsidRPr="00041702" w:rsidRDefault="00041702">
      <w:pPr>
        <w:pStyle w:val="ConsPlusNormal"/>
        <w:jc w:val="right"/>
        <w:rPr>
          <w:sz w:val="22"/>
          <w:szCs w:val="22"/>
        </w:rPr>
      </w:pPr>
    </w:p>
    <w:p w:rsidR="00041702" w:rsidRPr="00041702" w:rsidRDefault="00041702">
      <w:pPr>
        <w:pStyle w:val="ConsPlusNormal"/>
        <w:jc w:val="right"/>
        <w:rPr>
          <w:sz w:val="22"/>
          <w:szCs w:val="22"/>
        </w:rPr>
      </w:pPr>
      <w:r w:rsidRPr="00041702">
        <w:rPr>
          <w:sz w:val="22"/>
          <w:szCs w:val="22"/>
        </w:rPr>
        <w:t>Утвержден</w:t>
      </w:r>
    </w:p>
    <w:p w:rsidR="00041702" w:rsidRPr="00041702" w:rsidRDefault="00041702">
      <w:pPr>
        <w:pStyle w:val="ConsPlusNormal"/>
        <w:jc w:val="right"/>
        <w:rPr>
          <w:sz w:val="22"/>
          <w:szCs w:val="22"/>
        </w:rPr>
      </w:pPr>
      <w:r w:rsidRPr="00041702">
        <w:rPr>
          <w:sz w:val="22"/>
          <w:szCs w:val="22"/>
        </w:rPr>
        <w:t>приказом Министерства образования</w:t>
      </w:r>
    </w:p>
    <w:p w:rsidR="00041702" w:rsidRPr="00041702" w:rsidRDefault="00041702">
      <w:pPr>
        <w:pStyle w:val="ConsPlusNormal"/>
        <w:jc w:val="right"/>
        <w:rPr>
          <w:sz w:val="22"/>
          <w:szCs w:val="22"/>
        </w:rPr>
      </w:pPr>
      <w:r w:rsidRPr="00041702">
        <w:rPr>
          <w:sz w:val="22"/>
          <w:szCs w:val="22"/>
        </w:rPr>
        <w:t>и науки Российской Федерации</w:t>
      </w:r>
    </w:p>
    <w:p w:rsidR="00041702" w:rsidRPr="00041702" w:rsidRDefault="00041702">
      <w:pPr>
        <w:pStyle w:val="ConsPlusNormal"/>
        <w:jc w:val="right"/>
        <w:rPr>
          <w:sz w:val="22"/>
          <w:szCs w:val="22"/>
        </w:rPr>
      </w:pPr>
      <w:r w:rsidRPr="00041702">
        <w:rPr>
          <w:sz w:val="22"/>
          <w:szCs w:val="22"/>
        </w:rPr>
        <w:t>от 12 марта 2015 г. N 228</w:t>
      </w:r>
    </w:p>
    <w:p w:rsidR="00041702" w:rsidRPr="00041702" w:rsidRDefault="00041702">
      <w:pPr>
        <w:pStyle w:val="ConsPlusNormal"/>
        <w:jc w:val="right"/>
        <w:rPr>
          <w:sz w:val="22"/>
          <w:szCs w:val="22"/>
        </w:rPr>
      </w:pP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  <w:bookmarkStart w:id="0" w:name="P36"/>
      <w:bookmarkEnd w:id="0"/>
      <w:r w:rsidRPr="00041702">
        <w:rPr>
          <w:sz w:val="22"/>
          <w:szCs w:val="22"/>
        </w:rPr>
        <w:t>ФЕДЕРАЛЬНЫЙ ГОСУДАРСТВЕННЫЙ ОБРАЗОВАТЕЛЬНЫЙ СТАНДАРТ</w:t>
      </w: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ВЫСШЕГО ОБРАЗОВАНИЯ</w:t>
      </w: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УРОВЕНЬ ВЫСШЕГО ОБРАЗОВАНИЯ</w:t>
      </w: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БАКАЛАВРИАТ</w:t>
      </w: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НАПРАВЛЕНИЕ ПОДГОТОВКИ</w:t>
      </w:r>
    </w:p>
    <w:p w:rsidR="00041702" w:rsidRPr="00041702" w:rsidRDefault="00041702">
      <w:pPr>
        <w:pStyle w:val="ConsPlusTitle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01.03.02 ПРИКЛАДНАЯ МАТЕМАТИКА И ИНФОРМАТИКА</w:t>
      </w: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Список изменяющих документов</w:t>
      </w: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 xml:space="preserve">(в ред. </w:t>
      </w:r>
      <w:hyperlink r:id="rId9" w:history="1">
        <w:r w:rsidRPr="00041702">
          <w:rPr>
            <w:color w:val="0000FF"/>
            <w:sz w:val="22"/>
            <w:szCs w:val="22"/>
          </w:rPr>
          <w:t>Приказа</w:t>
        </w:r>
      </w:hyperlink>
      <w:r w:rsidRPr="00041702">
        <w:rPr>
          <w:sz w:val="22"/>
          <w:szCs w:val="22"/>
        </w:rPr>
        <w:t xml:space="preserve"> </w:t>
      </w:r>
      <w:proofErr w:type="spellStart"/>
      <w:r w:rsidRPr="00041702">
        <w:rPr>
          <w:sz w:val="22"/>
          <w:szCs w:val="22"/>
        </w:rPr>
        <w:t>Минобрнауки</w:t>
      </w:r>
      <w:proofErr w:type="spellEnd"/>
      <w:r w:rsidRPr="00041702">
        <w:rPr>
          <w:sz w:val="22"/>
          <w:szCs w:val="22"/>
        </w:rPr>
        <w:t xml:space="preserve"> России от 09.09.2015 N 999)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I. ОБЛАСТЬ ПРИМЕНЕНИЯ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по направлению подготовки 01.03.02 Прикладная математика и информатика (далее соответственно - программа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направление подготовки).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II. ИСПОЛЬЗУЕМЫЕ СОКРАЩЕНИЯ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В настоящем федеральном государственном образовательном стандарте используются следующие сокращения: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ОК - общекультурные компетенции;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ОПК - общепрофессиональные компетенции;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ПК - профессиональные компетенции;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ФГОС ВО - федеральный государственный образовательный стандарт высшего образования;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сетевая форма - сетевая форма реализации образовательных программ.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III. ХАРАКТЕРИСТИКА НАПРАВЛЕНИЯ ПОДГОТОВКИ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3.1. Получение образования по программе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допускается только в образовательной организации высшего образования (далее - организация).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3.2. Обучение по программе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в организациях осуществляется в очной, очно-заочной и заочной формах обучения.</w:t>
      </w:r>
    </w:p>
    <w:p w:rsidR="00041702" w:rsidRPr="00041702" w:rsidRDefault="00041702">
      <w:pPr>
        <w:pStyle w:val="ConsPlusNormal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(в ред. </w:t>
      </w:r>
      <w:hyperlink r:id="rId10" w:history="1">
        <w:r w:rsidRPr="00041702">
          <w:rPr>
            <w:color w:val="0000FF"/>
            <w:sz w:val="22"/>
            <w:szCs w:val="22"/>
          </w:rPr>
          <w:t>Приказа</w:t>
        </w:r>
      </w:hyperlink>
      <w:r w:rsidRPr="00041702">
        <w:rPr>
          <w:sz w:val="22"/>
          <w:szCs w:val="22"/>
        </w:rPr>
        <w:t xml:space="preserve"> </w:t>
      </w:r>
      <w:proofErr w:type="spellStart"/>
      <w:r w:rsidRPr="00041702">
        <w:rPr>
          <w:sz w:val="22"/>
          <w:szCs w:val="22"/>
        </w:rPr>
        <w:t>Минобрнауки</w:t>
      </w:r>
      <w:proofErr w:type="spellEnd"/>
      <w:r w:rsidRPr="00041702">
        <w:rPr>
          <w:sz w:val="22"/>
          <w:szCs w:val="22"/>
        </w:rPr>
        <w:t xml:space="preserve"> России от 09.09.2015 N 999)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Объем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составляет 240 зачетных единиц (далее - </w:t>
      </w:r>
      <w:proofErr w:type="spellStart"/>
      <w:r w:rsidRPr="00041702">
        <w:rPr>
          <w:sz w:val="22"/>
          <w:szCs w:val="22"/>
        </w:rPr>
        <w:t>з.е</w:t>
      </w:r>
      <w:proofErr w:type="spellEnd"/>
      <w:r w:rsidRPr="00041702">
        <w:rPr>
          <w:sz w:val="22"/>
          <w:szCs w:val="22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с использованием сетевой формы,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по индивидуальному учебному плану, в том числе ускоренному обучению.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3.3. Срок получения образования по программе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в очной форме обучения, реализуемый за один учебный год, составляет 60 </w:t>
      </w:r>
      <w:proofErr w:type="spellStart"/>
      <w:r w:rsidRPr="00041702">
        <w:rPr>
          <w:sz w:val="22"/>
          <w:szCs w:val="22"/>
        </w:rPr>
        <w:t>з.е</w:t>
      </w:r>
      <w:proofErr w:type="spellEnd"/>
      <w:r w:rsidRPr="00041702">
        <w:rPr>
          <w:sz w:val="22"/>
          <w:szCs w:val="22"/>
        </w:rPr>
        <w:t>.;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за один учебный год в очно-заочной или заочной формах обучения не может составлять более 75 </w:t>
      </w:r>
      <w:proofErr w:type="spellStart"/>
      <w:r w:rsidRPr="00041702">
        <w:rPr>
          <w:sz w:val="22"/>
          <w:szCs w:val="22"/>
        </w:rPr>
        <w:t>з.е</w:t>
      </w:r>
      <w:proofErr w:type="spellEnd"/>
      <w:r w:rsidRPr="00041702">
        <w:rPr>
          <w:sz w:val="22"/>
          <w:szCs w:val="22"/>
        </w:rPr>
        <w:t>.;</w:t>
      </w:r>
    </w:p>
    <w:p w:rsidR="00041702" w:rsidRPr="00041702" w:rsidRDefault="00041702">
      <w:pPr>
        <w:pStyle w:val="ConsPlusNormal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(в ред. </w:t>
      </w:r>
      <w:hyperlink r:id="rId11" w:history="1">
        <w:r w:rsidRPr="00041702">
          <w:rPr>
            <w:color w:val="0000FF"/>
            <w:sz w:val="22"/>
            <w:szCs w:val="22"/>
          </w:rPr>
          <w:t>Приказа</w:t>
        </w:r>
      </w:hyperlink>
      <w:r w:rsidRPr="00041702">
        <w:rPr>
          <w:sz w:val="22"/>
          <w:szCs w:val="22"/>
        </w:rPr>
        <w:t xml:space="preserve"> </w:t>
      </w:r>
      <w:proofErr w:type="spellStart"/>
      <w:r w:rsidRPr="00041702">
        <w:rPr>
          <w:sz w:val="22"/>
          <w:szCs w:val="22"/>
        </w:rPr>
        <w:t>Минобрнауки</w:t>
      </w:r>
      <w:proofErr w:type="spellEnd"/>
      <w:r w:rsidRPr="00041702">
        <w:rPr>
          <w:sz w:val="22"/>
          <w:szCs w:val="22"/>
        </w:rPr>
        <w:t xml:space="preserve"> России от 09.09.2015 N 999)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за один учебный год при обучении по индивидуальному плану вне зависимости от формы обучения не может составлять более 75 </w:t>
      </w:r>
      <w:proofErr w:type="spellStart"/>
      <w:r w:rsidRPr="00041702">
        <w:rPr>
          <w:sz w:val="22"/>
          <w:szCs w:val="22"/>
        </w:rPr>
        <w:lastRenderedPageBreak/>
        <w:t>з.е</w:t>
      </w:r>
      <w:proofErr w:type="spellEnd"/>
      <w:r w:rsidRPr="00041702">
        <w:rPr>
          <w:sz w:val="22"/>
          <w:szCs w:val="22"/>
        </w:rPr>
        <w:t>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Конкретный срок получения образования и объем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041702" w:rsidRPr="00041702" w:rsidRDefault="00041702">
      <w:pPr>
        <w:pStyle w:val="ConsPlusNormal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(в ред. </w:t>
      </w:r>
      <w:hyperlink r:id="rId12" w:history="1">
        <w:r w:rsidRPr="00041702">
          <w:rPr>
            <w:color w:val="0000FF"/>
            <w:sz w:val="22"/>
            <w:szCs w:val="22"/>
          </w:rPr>
          <w:t>Приказа</w:t>
        </w:r>
      </w:hyperlink>
      <w:r w:rsidRPr="00041702">
        <w:rPr>
          <w:sz w:val="22"/>
          <w:szCs w:val="22"/>
        </w:rPr>
        <w:t xml:space="preserve"> </w:t>
      </w:r>
      <w:proofErr w:type="spellStart"/>
      <w:r w:rsidRPr="00041702">
        <w:rPr>
          <w:sz w:val="22"/>
          <w:szCs w:val="22"/>
        </w:rPr>
        <w:t>Минобрнауки</w:t>
      </w:r>
      <w:proofErr w:type="spellEnd"/>
      <w:r w:rsidRPr="00041702">
        <w:rPr>
          <w:sz w:val="22"/>
          <w:szCs w:val="22"/>
        </w:rPr>
        <w:t xml:space="preserve"> России от 09.09.2015 N 999)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3.4. При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3.5. Реализация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возможна с использованием сетевой формы.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3.6. Образовательная деятельность по программе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IV. ХАРАКТЕРИСТИКА ПРОФЕССИОНАЛЬНОЙ ДЕЯТЕЛЬНОСТИ</w:t>
      </w: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ВЫПУСКНИКОВ, ОСВОИВШИХ ПРОГРАММУ БАКАЛАВРИАТА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4.1. Область профессиональной деятельности выпускников, освоивших программу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включает: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научные и ведомственные организации, связанные с решением научных и технических задач;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научно-исследовательские и вычислительные центры;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научно-производственные объединения;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образовательные организации среднего профессионального и высшего образования;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органы государственной власти;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организации, осуществляющие разработку и использование информационных систем, научных достижений, продуктов и сервисов в области прикладной математики и информатики.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4.2. Объектами профессиональной деятельности выпускников, освоивших программу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являются: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математическое моделирование;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математическая физика;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обратные и некорректно поставленные задачи;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численные методы;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теория вероятностей и математическая статистика;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исследование операций и системный анализ;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оптимизация и оптимальное управление;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математическая кибернетика;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дискретная математика;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нелинейная динамика, информатика и управление;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математические модели сложных систем: теория, алгоритмы, приложения; математические и компьютерные методы обработки изображений;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математическое и информационное обеспечение экономической деятельности;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математические методы и программное обеспечение защиты информации;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математическое и программное обеспечение компьютерных сетей;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информационные системы и их исследование методами математического прогнозирования и системного анализа;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математические модели и методы в проектировании сверхбольших интегральных схем;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высокопроизводительные вычисления и технологии параллельного программирования;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вычислительные </w:t>
      </w:r>
      <w:proofErr w:type="spellStart"/>
      <w:r w:rsidRPr="00041702">
        <w:rPr>
          <w:sz w:val="22"/>
          <w:szCs w:val="22"/>
        </w:rPr>
        <w:t>нанотехнологии</w:t>
      </w:r>
      <w:proofErr w:type="spellEnd"/>
      <w:r w:rsidRPr="00041702">
        <w:rPr>
          <w:sz w:val="22"/>
          <w:szCs w:val="22"/>
        </w:rPr>
        <w:t>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интеллектуальные системы;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proofErr w:type="spellStart"/>
      <w:r w:rsidRPr="00041702">
        <w:rPr>
          <w:sz w:val="22"/>
          <w:szCs w:val="22"/>
        </w:rPr>
        <w:t>биоинформатика</w:t>
      </w:r>
      <w:proofErr w:type="spellEnd"/>
      <w:r w:rsidRPr="00041702">
        <w:rPr>
          <w:sz w:val="22"/>
          <w:szCs w:val="22"/>
        </w:rPr>
        <w:t>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программная инженерия;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системное программирование;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средства, технологии, ресурсы и сервисы электронного обучения и мобильного </w:t>
      </w:r>
      <w:r w:rsidRPr="00041702">
        <w:rPr>
          <w:sz w:val="22"/>
          <w:szCs w:val="22"/>
        </w:rPr>
        <w:lastRenderedPageBreak/>
        <w:t>обучения;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прикладные интернет-технологии;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автоматизация научных исследований;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языки программирования, алгоритмы, библиотеки и пакеты программ, продукты системного и прикладного программного обеспечения;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системное и прикладное программное обеспечение;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базы данных;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системы управления предприятием;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сетевые технологии.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научно-исследовательская;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проектная и производственно-технологическая;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организационно-управленческая;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социально-педагогическая.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При разработке и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Программа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4.4. Выпускник, освоивший программу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должен быть готов решать следующие профессиональные задачи: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научно-исследовательская деятельность: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изучение информационных систем методами математического прогнозирования и системного анализа;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составление научных обзоров, рефератов и библиографии по тематике проводимых исследований;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участие в работе научных семинаров, научно-тематических конференций, симпозиумов;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подготовка научных и научно-технических публикаций;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проектная и производственно-технологическая деятельность: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использование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 или опытно-конструкторских работ;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изучение элементов проектирования сверхбольших интегральных схем, моделирование и разработка математического обеспечения оптических или квантовых элементов для компьютеров нового поколения;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</w:t>
      </w:r>
      <w:r w:rsidRPr="00041702">
        <w:rPr>
          <w:sz w:val="22"/>
          <w:szCs w:val="22"/>
        </w:rPr>
        <w:lastRenderedPageBreak/>
        <w:t>распределенных баз данных;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разработка архитектуры, алгоритмических и программных решений системного и прикладного программного обеспечения;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изучение и разработка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изучение и разработка систем цифровой обработки изображений, средств компьютерной графики, мультимедиа и автоматизированного проектирования;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развитие и использование инструментальных средств, автоматизированных систем в научной и практической деятельности;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применение наукоемких технологий и пакетов программ для решения прикладных задач в области физики, химии, биологии, экономики, медицины, экологии;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организационно-управленческая деятельность: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разработка и внедрение процессов управления качеством производственной деятельности, связанной с созданием и использованием информационных систем;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соблюдение кодекса профессиональной этики;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планирование процессов и ресурсов для решения задач в области прикладной математики и информатики;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разработка методов и механизмов мониторинга и оценки качества процессов производственной деятельности, связанной с созданием и использованием информационных систем;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социально-педагогическая деятельность: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преподавание физико-математических дисциплин и информатики в общеобразовательных и профессиональных образовательных организациях;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разработка методического обеспечения учебного процесса в общеобразовательных и профессиональных образовательных организациях;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участие в разработке корпоративной политики и мероприятий в области повышения социальной ответственности бизнеса перед обществом;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разработка и реализация решений, направленных на поддержку социально-значимых проектов, на повышение электронной грамотности населения, обеспечения общедоступности информационных услуг, развитие детского компьютерного творчества;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владение методами электронного обучения.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V. ТРЕБОВАНИЯ К РЕЗУЛЬТАТАМ ОСВОЕНИЯ ПРОГРАММЫ БАКАЛАВРИАТА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5.1. В результате освоения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5.2. Выпускник, освоивший программу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должен обладать следующими общекультурными компетенциями: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использовать основы философских знаний для формирования мировоззренческой позиции (ОК-1);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использовать основы экономических знаний в различных сферах жизнедеятельности (ОК-3);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использовать основы правовых знаний в различных сферах жизнедеятельности (ОК-4);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работать в команде, толерантно воспринимая социальные, этнические, конфессиональные и культурные различия (ОК-6);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к самоорганизации и самообразованию (ОК-7);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lastRenderedPageBreak/>
        <w:t>способностью использовать приемы первой помощи, методы защиты в условиях чрезвычайных ситуаций (ОК-9).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5.3. Выпускник, освоивший программу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должен обладать следующими общепрофессиональными компетенциями: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(ОПК-1);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приобретать новые научные и профессиональные знания, используя современные образовательные и информационные технологии (ОПК-2);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 (ОПК-3);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5.4. Выпускник, освоивший программу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научно-исследовательская деятельность: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(ПК-1);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понимать, совершенствовать и применять современный математический аппарат (ПК-2);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критически переосмысливать накопленный опыт, изменять при необходимости вид и характер своей профессиональной деятельности (ПК-3);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проектная и производственно-технологическая деятельность: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работать в составе научно-исследовательского и производственного коллектива и решать задачи профессиональной деятельности (ПК-4);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 (ПК-5);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формировать суждения о значении и последствиях своей профессиональной деятельности с учетом социальных, профессиональных и этических позиций (ПК-6);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к разработке и применению алгоритмических и программных решений в области системного и прикладного программного обеспечения (ПК-7);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организационно-управленческая деятельность: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приобретать и использовать организационно-управленческие навыки в профессиональной и социальной деятельности (ПК-8);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составлять и контролировать план выполняемой работы, планировать необходимые для выполнения работы ресурсы, оценивать результаты собственной работы (ПК-9);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социально-педагогическая деятельность: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 (ПК-10);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к организации педагогической деятельности в конкретной предметной области (математика и информатика) (ПК-11);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к планированию и осуществлению педагогической деятельности с учетом специфики предметной области в общеобразовательных и профессиональных образовательных организациях (ПК-12);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способностью применять существующие и разрабатывать новые методы и средства обучения (ПК-13).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lastRenderedPageBreak/>
        <w:t xml:space="preserve">5.5. При разработке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, включаются в набор требуемых результатов освоения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5.6. При разработке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организация вправе дополнить набор компетенций выпускников с учетом ориентации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на конкретные области знания и (или) вид (виды) деятельности.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5.7. При разработке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VI. ТРЕБОВАНИЯ К СТРУКТУРЕ ПРОГРАММЫ БАКАЛАВРИАТА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6.1. Структура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6.2. Программа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состоит из следующих блоков: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hyperlink w:anchor="P218" w:history="1">
        <w:r w:rsidRPr="00041702">
          <w:rPr>
            <w:color w:val="0000FF"/>
            <w:sz w:val="22"/>
            <w:szCs w:val="22"/>
          </w:rPr>
          <w:t>Блок 1</w:t>
        </w:r>
      </w:hyperlink>
      <w:r w:rsidRPr="00041702">
        <w:rPr>
          <w:sz w:val="22"/>
          <w:szCs w:val="22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hyperlink w:anchor="P229" w:history="1">
        <w:r w:rsidRPr="00041702">
          <w:rPr>
            <w:color w:val="0000FF"/>
            <w:sz w:val="22"/>
            <w:szCs w:val="22"/>
          </w:rPr>
          <w:t>Блок 2</w:t>
        </w:r>
      </w:hyperlink>
      <w:r w:rsidRPr="00041702">
        <w:rPr>
          <w:sz w:val="22"/>
          <w:szCs w:val="22"/>
        </w:rPr>
        <w:t xml:space="preserve"> "Практики", который в полном объеме относится к вариативной части программы.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hyperlink w:anchor="P236" w:history="1">
        <w:r w:rsidRPr="00041702">
          <w:rPr>
            <w:color w:val="0000FF"/>
            <w:sz w:val="22"/>
            <w:szCs w:val="22"/>
          </w:rPr>
          <w:t>Блок 3</w:t>
        </w:r>
      </w:hyperlink>
      <w:r w:rsidRPr="00041702">
        <w:rPr>
          <w:sz w:val="22"/>
          <w:szCs w:val="22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--------------------------------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&lt;1&gt; </w:t>
      </w:r>
      <w:hyperlink r:id="rId13" w:history="1">
        <w:r w:rsidRPr="00041702">
          <w:rPr>
            <w:color w:val="0000FF"/>
            <w:sz w:val="22"/>
            <w:szCs w:val="22"/>
          </w:rPr>
          <w:t>Подпункт 5.2.1</w:t>
        </w:r>
      </w:hyperlink>
      <w:r w:rsidRPr="00041702">
        <w:rPr>
          <w:sz w:val="22"/>
          <w:szCs w:val="22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 xml:space="preserve">Структура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</w:p>
    <w:p w:rsidR="00041702" w:rsidRDefault="00041702">
      <w:pPr>
        <w:pStyle w:val="ConsPlusNormal"/>
        <w:jc w:val="right"/>
        <w:rPr>
          <w:sz w:val="22"/>
          <w:szCs w:val="22"/>
        </w:rPr>
      </w:pPr>
      <w:r w:rsidRPr="00041702">
        <w:rPr>
          <w:sz w:val="22"/>
          <w:szCs w:val="22"/>
        </w:rPr>
        <w:t>Таблица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4"/>
        <w:gridCol w:w="3152"/>
        <w:gridCol w:w="2552"/>
        <w:gridCol w:w="2551"/>
      </w:tblGrid>
      <w:tr w:rsidR="00041702" w:rsidRPr="00041702" w:rsidTr="00F13899">
        <w:tc>
          <w:tcPr>
            <w:tcW w:w="4536" w:type="dxa"/>
            <w:gridSpan w:val="2"/>
            <w:vMerge w:val="restart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 xml:space="preserve">Структура программы </w:t>
            </w:r>
            <w:proofErr w:type="spellStart"/>
            <w:r w:rsidRPr="00041702"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5103" w:type="dxa"/>
            <w:gridSpan w:val="2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 xml:space="preserve">Объем программы </w:t>
            </w:r>
            <w:proofErr w:type="spellStart"/>
            <w:r w:rsidRPr="00041702">
              <w:rPr>
                <w:sz w:val="22"/>
                <w:szCs w:val="22"/>
              </w:rPr>
              <w:t>бакалавриата</w:t>
            </w:r>
            <w:proofErr w:type="spellEnd"/>
            <w:r w:rsidRPr="00041702">
              <w:rPr>
                <w:sz w:val="22"/>
                <w:szCs w:val="22"/>
              </w:rPr>
              <w:t xml:space="preserve"> </w:t>
            </w:r>
            <w:proofErr w:type="spellStart"/>
            <w:r w:rsidRPr="00041702">
              <w:rPr>
                <w:sz w:val="22"/>
                <w:szCs w:val="22"/>
              </w:rPr>
              <w:t>з.е</w:t>
            </w:r>
            <w:proofErr w:type="spellEnd"/>
            <w:r w:rsidRPr="00041702">
              <w:rPr>
                <w:sz w:val="22"/>
                <w:szCs w:val="22"/>
              </w:rPr>
              <w:t>.</w:t>
            </w:r>
          </w:p>
        </w:tc>
      </w:tr>
      <w:tr w:rsidR="00041702" w:rsidRPr="00041702" w:rsidTr="00F13899">
        <w:tc>
          <w:tcPr>
            <w:tcW w:w="4536" w:type="dxa"/>
            <w:gridSpan w:val="2"/>
            <w:vMerge/>
          </w:tcPr>
          <w:p w:rsidR="00041702" w:rsidRPr="00041702" w:rsidRDefault="00041702" w:rsidP="00F13899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 xml:space="preserve">программа академического </w:t>
            </w:r>
            <w:proofErr w:type="spellStart"/>
            <w:r w:rsidRPr="00041702"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2551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 xml:space="preserve">программа прикладного </w:t>
            </w:r>
            <w:proofErr w:type="spellStart"/>
            <w:r w:rsidRPr="00041702">
              <w:rPr>
                <w:sz w:val="22"/>
                <w:szCs w:val="22"/>
              </w:rPr>
              <w:t>бакалавриата</w:t>
            </w:r>
            <w:proofErr w:type="spellEnd"/>
          </w:p>
        </w:tc>
      </w:tr>
      <w:tr w:rsidR="00041702" w:rsidRPr="00041702" w:rsidTr="00F13899">
        <w:tc>
          <w:tcPr>
            <w:tcW w:w="1384" w:type="dxa"/>
          </w:tcPr>
          <w:p w:rsidR="00041702" w:rsidRPr="00041702" w:rsidRDefault="00041702" w:rsidP="00F13899">
            <w:pPr>
              <w:pStyle w:val="ConsPlusNormal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Блок 1</w:t>
            </w:r>
          </w:p>
        </w:tc>
        <w:tc>
          <w:tcPr>
            <w:tcW w:w="3152" w:type="dxa"/>
          </w:tcPr>
          <w:p w:rsidR="00041702" w:rsidRPr="00041702" w:rsidRDefault="00041702" w:rsidP="00F13899">
            <w:pPr>
              <w:pStyle w:val="ConsPlusNormal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Дисциплины (модули)</w:t>
            </w:r>
          </w:p>
        </w:tc>
        <w:tc>
          <w:tcPr>
            <w:tcW w:w="2552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213 - 216</w:t>
            </w:r>
          </w:p>
        </w:tc>
        <w:tc>
          <w:tcPr>
            <w:tcW w:w="2551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192 - 216</w:t>
            </w:r>
          </w:p>
        </w:tc>
      </w:tr>
      <w:tr w:rsidR="00041702" w:rsidRPr="00041702" w:rsidTr="00F13899">
        <w:tc>
          <w:tcPr>
            <w:tcW w:w="1384" w:type="dxa"/>
            <w:vMerge w:val="restart"/>
          </w:tcPr>
          <w:p w:rsidR="00041702" w:rsidRPr="00041702" w:rsidRDefault="00041702" w:rsidP="00F1389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041702" w:rsidRPr="00041702" w:rsidRDefault="00041702" w:rsidP="00F13899">
            <w:pPr>
              <w:pStyle w:val="ConsPlusNormal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Базовая часть</w:t>
            </w:r>
          </w:p>
        </w:tc>
        <w:tc>
          <w:tcPr>
            <w:tcW w:w="2552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99 - 120</w:t>
            </w:r>
          </w:p>
        </w:tc>
        <w:tc>
          <w:tcPr>
            <w:tcW w:w="2551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99 - 120</w:t>
            </w:r>
          </w:p>
        </w:tc>
      </w:tr>
      <w:tr w:rsidR="00041702" w:rsidRPr="00041702" w:rsidTr="00F13899">
        <w:tc>
          <w:tcPr>
            <w:tcW w:w="1384" w:type="dxa"/>
            <w:vMerge/>
          </w:tcPr>
          <w:p w:rsidR="00041702" w:rsidRPr="00041702" w:rsidRDefault="00041702" w:rsidP="00F13899">
            <w:pPr>
              <w:rPr>
                <w:sz w:val="22"/>
              </w:rPr>
            </w:pPr>
          </w:p>
        </w:tc>
        <w:tc>
          <w:tcPr>
            <w:tcW w:w="3152" w:type="dxa"/>
          </w:tcPr>
          <w:p w:rsidR="00041702" w:rsidRPr="00041702" w:rsidRDefault="00041702" w:rsidP="00F13899">
            <w:pPr>
              <w:pStyle w:val="ConsPlusNormal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2552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96 - 114</w:t>
            </w:r>
          </w:p>
        </w:tc>
        <w:tc>
          <w:tcPr>
            <w:tcW w:w="2551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93 - 96</w:t>
            </w:r>
          </w:p>
        </w:tc>
      </w:tr>
      <w:tr w:rsidR="00041702" w:rsidRPr="00041702" w:rsidTr="00F13899">
        <w:tc>
          <w:tcPr>
            <w:tcW w:w="1384" w:type="dxa"/>
            <w:vMerge w:val="restart"/>
          </w:tcPr>
          <w:p w:rsidR="00041702" w:rsidRPr="00041702" w:rsidRDefault="00041702" w:rsidP="00F13899">
            <w:pPr>
              <w:pStyle w:val="ConsPlusNormal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Блок 2</w:t>
            </w:r>
          </w:p>
        </w:tc>
        <w:tc>
          <w:tcPr>
            <w:tcW w:w="3152" w:type="dxa"/>
          </w:tcPr>
          <w:p w:rsidR="00041702" w:rsidRPr="00041702" w:rsidRDefault="00041702" w:rsidP="00F13899">
            <w:pPr>
              <w:pStyle w:val="ConsPlusNormal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Практики</w:t>
            </w:r>
          </w:p>
        </w:tc>
        <w:tc>
          <w:tcPr>
            <w:tcW w:w="2552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15 - 21</w:t>
            </w:r>
          </w:p>
        </w:tc>
        <w:tc>
          <w:tcPr>
            <w:tcW w:w="2551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15 - 42</w:t>
            </w:r>
          </w:p>
        </w:tc>
      </w:tr>
      <w:tr w:rsidR="00041702" w:rsidRPr="00041702" w:rsidTr="00F13899">
        <w:tc>
          <w:tcPr>
            <w:tcW w:w="1384" w:type="dxa"/>
            <w:vMerge/>
          </w:tcPr>
          <w:p w:rsidR="00041702" w:rsidRPr="00041702" w:rsidRDefault="00041702" w:rsidP="00F13899">
            <w:pPr>
              <w:rPr>
                <w:sz w:val="22"/>
              </w:rPr>
            </w:pPr>
          </w:p>
        </w:tc>
        <w:tc>
          <w:tcPr>
            <w:tcW w:w="3152" w:type="dxa"/>
          </w:tcPr>
          <w:p w:rsidR="00041702" w:rsidRPr="00041702" w:rsidRDefault="00041702" w:rsidP="00F13899">
            <w:pPr>
              <w:pStyle w:val="ConsPlusNormal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2552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15 - 21</w:t>
            </w:r>
          </w:p>
        </w:tc>
        <w:tc>
          <w:tcPr>
            <w:tcW w:w="2551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15 - 42</w:t>
            </w:r>
          </w:p>
        </w:tc>
      </w:tr>
      <w:tr w:rsidR="00041702" w:rsidRPr="00041702" w:rsidTr="00F13899">
        <w:tc>
          <w:tcPr>
            <w:tcW w:w="1384" w:type="dxa"/>
            <w:vMerge w:val="restart"/>
          </w:tcPr>
          <w:p w:rsidR="00041702" w:rsidRPr="00041702" w:rsidRDefault="00041702" w:rsidP="00F13899">
            <w:pPr>
              <w:pStyle w:val="ConsPlusNormal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Блок 3</w:t>
            </w:r>
          </w:p>
        </w:tc>
        <w:tc>
          <w:tcPr>
            <w:tcW w:w="3152" w:type="dxa"/>
          </w:tcPr>
          <w:p w:rsidR="00041702" w:rsidRPr="00041702" w:rsidRDefault="00041702" w:rsidP="00F13899">
            <w:pPr>
              <w:pStyle w:val="ConsPlusNormal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2552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6 - 9</w:t>
            </w:r>
          </w:p>
        </w:tc>
        <w:tc>
          <w:tcPr>
            <w:tcW w:w="2551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6 - 9</w:t>
            </w:r>
          </w:p>
        </w:tc>
      </w:tr>
      <w:tr w:rsidR="00041702" w:rsidRPr="00041702" w:rsidTr="00F13899">
        <w:tc>
          <w:tcPr>
            <w:tcW w:w="1384" w:type="dxa"/>
            <w:vMerge/>
          </w:tcPr>
          <w:p w:rsidR="00041702" w:rsidRPr="00041702" w:rsidRDefault="00041702" w:rsidP="00F13899">
            <w:pPr>
              <w:rPr>
                <w:sz w:val="22"/>
              </w:rPr>
            </w:pPr>
          </w:p>
        </w:tc>
        <w:tc>
          <w:tcPr>
            <w:tcW w:w="3152" w:type="dxa"/>
          </w:tcPr>
          <w:p w:rsidR="00041702" w:rsidRPr="00041702" w:rsidRDefault="00041702" w:rsidP="00F13899">
            <w:pPr>
              <w:pStyle w:val="ConsPlusNormal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Базовая часть</w:t>
            </w:r>
          </w:p>
        </w:tc>
        <w:tc>
          <w:tcPr>
            <w:tcW w:w="2552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6 - 9</w:t>
            </w:r>
          </w:p>
        </w:tc>
        <w:tc>
          <w:tcPr>
            <w:tcW w:w="2551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6 - 9</w:t>
            </w:r>
          </w:p>
        </w:tc>
      </w:tr>
      <w:tr w:rsidR="00041702" w:rsidRPr="00041702" w:rsidTr="00F13899">
        <w:tc>
          <w:tcPr>
            <w:tcW w:w="4536" w:type="dxa"/>
            <w:gridSpan w:val="2"/>
          </w:tcPr>
          <w:p w:rsidR="00041702" w:rsidRPr="00041702" w:rsidRDefault="00041702" w:rsidP="00F13899">
            <w:pPr>
              <w:pStyle w:val="ConsPlusNormal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 xml:space="preserve">Объем программы </w:t>
            </w:r>
            <w:proofErr w:type="spellStart"/>
            <w:r w:rsidRPr="00041702"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2552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240</w:t>
            </w:r>
          </w:p>
        </w:tc>
        <w:tc>
          <w:tcPr>
            <w:tcW w:w="2551" w:type="dxa"/>
          </w:tcPr>
          <w:p w:rsidR="00041702" w:rsidRPr="00041702" w:rsidRDefault="00041702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041702">
              <w:rPr>
                <w:sz w:val="22"/>
                <w:szCs w:val="22"/>
              </w:rPr>
              <w:t>240</w:t>
            </w:r>
          </w:p>
        </w:tc>
      </w:tr>
    </w:tbl>
    <w:p w:rsidR="00041702" w:rsidRDefault="00041702" w:rsidP="00041702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bookmarkStart w:id="1" w:name="_GoBack"/>
      <w:bookmarkEnd w:id="1"/>
      <w:r w:rsidRPr="00041702">
        <w:rPr>
          <w:sz w:val="22"/>
          <w:szCs w:val="22"/>
        </w:rPr>
        <w:lastRenderedPageBreak/>
        <w:t xml:space="preserve">6.3. Дисциплины (модули), относящиеся к базовой части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, которую он осваивает. Набор дисциплин (модулей), относящихся к базовой части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18" w:history="1">
        <w:r w:rsidRPr="00041702">
          <w:rPr>
            <w:color w:val="0000FF"/>
            <w:sz w:val="22"/>
            <w:szCs w:val="22"/>
          </w:rPr>
          <w:t>Блока 1</w:t>
        </w:r>
      </w:hyperlink>
      <w:r w:rsidRPr="00041702">
        <w:rPr>
          <w:sz w:val="22"/>
          <w:szCs w:val="22"/>
        </w:rPr>
        <w:t xml:space="preserve"> "Дисциплины (модули)"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6.5. Дисциплины (модули) по физической культуре и спорту реализуются в рамках: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базовой части </w:t>
      </w:r>
      <w:hyperlink w:anchor="P218" w:history="1">
        <w:r w:rsidRPr="00041702">
          <w:rPr>
            <w:color w:val="0000FF"/>
            <w:sz w:val="22"/>
            <w:szCs w:val="22"/>
          </w:rPr>
          <w:t>Блока 1</w:t>
        </w:r>
      </w:hyperlink>
      <w:r w:rsidRPr="00041702">
        <w:rPr>
          <w:sz w:val="22"/>
          <w:szCs w:val="22"/>
        </w:rPr>
        <w:t xml:space="preserve"> "Дисциплины (модули)"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в объеме не менее 72 академических часов (2 зачетные единицы) в очной форме обучения;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6.6. Дисциплины (модули), относящиеся к вариативной части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, и практики определяют направленность (профиль)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. Набор дисциплин (модулей), относящихся к вариативной части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и практик организация определяет самостоятельно в объеме, установленном настоящим ФГОС ВО.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6.7. В </w:t>
      </w:r>
      <w:hyperlink w:anchor="P229" w:history="1">
        <w:r w:rsidRPr="00041702">
          <w:rPr>
            <w:color w:val="0000FF"/>
            <w:sz w:val="22"/>
            <w:szCs w:val="22"/>
          </w:rPr>
          <w:t>Блок 2</w:t>
        </w:r>
      </w:hyperlink>
      <w:r w:rsidRPr="00041702">
        <w:rPr>
          <w:sz w:val="22"/>
          <w:szCs w:val="22"/>
        </w:rPr>
        <w:t xml:space="preserve"> "Практики" входят учебная и производственная, в том числе преддипломная, практики.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Типы учебной практики: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практика по получению первичных профессиональных умений и навыков.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Способы проведения учебной практики: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стационарная;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выездная.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Типы производственной практики: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практика по получению профессиональных умений и опыта профессиональной деятельности.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Способы проведения производственной практики: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стационарная;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выездная.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При разработке программ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. Организация вправе предусмотреть в программе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иные типы практик дополнительно к установленным настоящим ФГОС ВО.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Учебная и (или) производственная практики могут проводиться в структурных подразделениях организации.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6.8. В </w:t>
      </w:r>
      <w:hyperlink w:anchor="P236" w:history="1">
        <w:r w:rsidRPr="00041702">
          <w:rPr>
            <w:color w:val="0000FF"/>
            <w:sz w:val="22"/>
            <w:szCs w:val="22"/>
          </w:rPr>
          <w:t>Блок 3</w:t>
        </w:r>
      </w:hyperlink>
      <w:r w:rsidRPr="00041702">
        <w:rPr>
          <w:sz w:val="22"/>
          <w:szCs w:val="22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6.9.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</w:t>
      </w:r>
      <w:r w:rsidRPr="00041702">
        <w:rPr>
          <w:sz w:val="22"/>
          <w:szCs w:val="22"/>
        </w:rPr>
        <w:lastRenderedPageBreak/>
        <w:t>защиты государственной тайны.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6.10.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6.11. При разработке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</w:t>
      </w:r>
      <w:hyperlink w:anchor="P218" w:history="1">
        <w:r w:rsidRPr="00041702">
          <w:rPr>
            <w:color w:val="0000FF"/>
            <w:sz w:val="22"/>
            <w:szCs w:val="22"/>
          </w:rPr>
          <w:t>Блока 1</w:t>
        </w:r>
      </w:hyperlink>
      <w:r w:rsidRPr="00041702">
        <w:rPr>
          <w:sz w:val="22"/>
          <w:szCs w:val="22"/>
        </w:rPr>
        <w:t xml:space="preserve"> "Дисциплины (модули)".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6.12. Количество часов, отведенных на занятия лекционного типа в целом по </w:t>
      </w:r>
      <w:hyperlink w:anchor="P218" w:history="1">
        <w:r w:rsidRPr="00041702">
          <w:rPr>
            <w:color w:val="0000FF"/>
            <w:sz w:val="22"/>
            <w:szCs w:val="22"/>
          </w:rPr>
          <w:t>Блоку 1</w:t>
        </w:r>
      </w:hyperlink>
      <w:r w:rsidRPr="00041702">
        <w:rPr>
          <w:sz w:val="22"/>
          <w:szCs w:val="22"/>
        </w:rPr>
        <w:t xml:space="preserve"> "Дисциплины (модули)", должно составлять не более 60 процентов от общего количества часов аудиторных занятий, отведенных на реализацию данного Блока.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VII. ТРЕБОВАНИЯ К УСЛОВИЯМ РЕАЛИЗАЦИИ</w:t>
      </w:r>
    </w:p>
    <w:p w:rsidR="00041702" w:rsidRPr="00041702" w:rsidRDefault="00041702">
      <w:pPr>
        <w:pStyle w:val="ConsPlusNormal"/>
        <w:jc w:val="center"/>
        <w:rPr>
          <w:sz w:val="22"/>
          <w:szCs w:val="22"/>
        </w:rPr>
      </w:pPr>
      <w:r w:rsidRPr="00041702">
        <w:rPr>
          <w:sz w:val="22"/>
          <w:szCs w:val="22"/>
        </w:rPr>
        <w:t>ПРОГРАММЫ БАКАЛАВРИАТА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7.1. Общесистемные требования к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</w:t>
      </w:r>
      <w:proofErr w:type="gramStart"/>
      <w:r w:rsidRPr="00041702">
        <w:rPr>
          <w:sz w:val="22"/>
          <w:szCs w:val="22"/>
        </w:rPr>
        <w:t>доступа</w:t>
      </w:r>
      <w:proofErr w:type="gramEnd"/>
      <w:r w:rsidRPr="00041702">
        <w:rPr>
          <w:sz w:val="22"/>
          <w:szCs w:val="22"/>
        </w:rPr>
        <w:t xml:space="preserve"> обучающегося из любой точки, в которой имеется доступ к сети "Интернет", как на территории организации, так и вне ее.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Электронная информационно-образовательная среда организации должна обеспечивать: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--------------------------------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&lt;1&gt; Федеральный </w:t>
      </w:r>
      <w:hyperlink r:id="rId14" w:history="1">
        <w:r w:rsidRPr="00041702">
          <w:rPr>
            <w:color w:val="0000FF"/>
            <w:sz w:val="22"/>
            <w:szCs w:val="22"/>
          </w:rPr>
          <w:t>закон</w:t>
        </w:r>
      </w:hyperlink>
      <w:r w:rsidRPr="00041702">
        <w:rPr>
          <w:sz w:val="22"/>
          <w:szCs w:val="22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4243), Федеральный </w:t>
      </w:r>
      <w:hyperlink r:id="rId15" w:history="1">
        <w:r w:rsidRPr="00041702">
          <w:rPr>
            <w:color w:val="0000FF"/>
            <w:sz w:val="22"/>
            <w:szCs w:val="22"/>
          </w:rPr>
          <w:t>закон</w:t>
        </w:r>
      </w:hyperlink>
      <w:r w:rsidRPr="00041702">
        <w:rPr>
          <w:sz w:val="22"/>
          <w:szCs w:val="22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</w:t>
      </w:r>
      <w:r w:rsidRPr="00041702">
        <w:rPr>
          <w:sz w:val="22"/>
          <w:szCs w:val="22"/>
        </w:rPr>
        <w:lastRenderedPageBreak/>
        <w:t>ст. 6409; 2011, N 23, ст. 3263; N 31, ст. 4701; 2013, N 14, ст. 1651; N 30, ст. 4038; N 51, ст. 6683; 2014, N 23, ст. 2927).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7.1.3. В случае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в сетевой форме требования к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в сетевой форме.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7.1.4. В случае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должны обеспечиваться совокупностью ресурсов указанных организаций.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 w:rsidRPr="00041702">
          <w:rPr>
            <w:color w:val="0000FF"/>
            <w:sz w:val="22"/>
            <w:szCs w:val="22"/>
          </w:rPr>
          <w:t>разделе</w:t>
        </w:r>
      </w:hyperlink>
      <w:r w:rsidRPr="00041702">
        <w:rPr>
          <w:sz w:val="22"/>
          <w:szCs w:val="22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7.1.7. В организации, реализующей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--------------------------------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&lt;1&gt; </w:t>
      </w:r>
      <w:hyperlink r:id="rId17" w:history="1">
        <w:r w:rsidRPr="00041702">
          <w:rPr>
            <w:color w:val="0000FF"/>
            <w:sz w:val="22"/>
            <w:szCs w:val="22"/>
          </w:rPr>
          <w:t>Пункт 4</w:t>
        </w:r>
      </w:hyperlink>
      <w:r w:rsidRPr="00041702">
        <w:rPr>
          <w:sz w:val="22"/>
          <w:szCs w:val="22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7.2. Требования к кадровым условиям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7.2.1. Реализация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на условиях гражданско-правового договора.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должна составлять не менее 70 процентов.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должна быть не менее 60 процентов.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должна быть не менее 5 процентов.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</w:t>
      </w:r>
      <w:r w:rsidRPr="00041702">
        <w:rPr>
          <w:sz w:val="22"/>
          <w:szCs w:val="22"/>
        </w:rPr>
        <w:lastRenderedPageBreak/>
        <w:t>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041702">
        <w:rPr>
          <w:sz w:val="22"/>
          <w:szCs w:val="22"/>
        </w:rPr>
        <w:t>процентов</w:t>
      </w:r>
      <w:proofErr w:type="gramEnd"/>
      <w:r w:rsidRPr="00041702">
        <w:rPr>
          <w:sz w:val="22"/>
          <w:szCs w:val="22"/>
        </w:rPr>
        <w:t xml:space="preserve"> обучающихся по программе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7.4. Требования к финансовым условиям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>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  <w:r w:rsidRPr="00041702">
        <w:rPr>
          <w:sz w:val="22"/>
          <w:szCs w:val="22"/>
        </w:rPr>
        <w:t xml:space="preserve">7.4.1. Финансовое обеспечение реализации программы </w:t>
      </w:r>
      <w:proofErr w:type="spellStart"/>
      <w:r w:rsidRPr="00041702">
        <w:rPr>
          <w:sz w:val="22"/>
          <w:szCs w:val="22"/>
        </w:rPr>
        <w:t>бакалавриата</w:t>
      </w:r>
      <w:proofErr w:type="spellEnd"/>
      <w:r w:rsidRPr="00041702">
        <w:rPr>
          <w:sz w:val="22"/>
          <w:szCs w:val="22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 w:rsidRPr="00041702">
          <w:rPr>
            <w:color w:val="0000FF"/>
            <w:sz w:val="22"/>
            <w:szCs w:val="22"/>
          </w:rPr>
          <w:t>Методикой</w:t>
        </w:r>
      </w:hyperlink>
      <w:r w:rsidRPr="00041702">
        <w:rPr>
          <w:sz w:val="22"/>
          <w:szCs w:val="22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ind w:firstLine="540"/>
        <w:jc w:val="both"/>
        <w:rPr>
          <w:sz w:val="22"/>
          <w:szCs w:val="22"/>
        </w:rPr>
      </w:pPr>
    </w:p>
    <w:p w:rsidR="00041702" w:rsidRPr="00041702" w:rsidRDefault="000417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595B94" w:rsidRPr="00041702" w:rsidRDefault="00595B94">
      <w:pPr>
        <w:rPr>
          <w:sz w:val="22"/>
        </w:rPr>
      </w:pPr>
    </w:p>
    <w:sectPr w:rsidR="00595B94" w:rsidRPr="00041702" w:rsidSect="00B30BD6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02"/>
    <w:rsid w:val="00041702"/>
    <w:rsid w:val="00595B94"/>
    <w:rsid w:val="0087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A71AE-434D-4D24-B247-79FEF50C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02"/>
    <w:pPr>
      <w:widowControl w:val="0"/>
      <w:autoSpaceDE w:val="0"/>
      <w:autoSpaceDN w:val="0"/>
      <w:jc w:val="left"/>
    </w:pPr>
    <w:rPr>
      <w:rFonts w:eastAsia="Times New Roman" w:cs="Arial"/>
      <w:szCs w:val="20"/>
      <w:lang w:eastAsia="ru-RU"/>
    </w:rPr>
  </w:style>
  <w:style w:type="paragraph" w:customStyle="1" w:styleId="ConsPlusTitle">
    <w:name w:val="ConsPlusTitle"/>
    <w:rsid w:val="00041702"/>
    <w:pPr>
      <w:widowControl w:val="0"/>
      <w:autoSpaceDE w:val="0"/>
      <w:autoSpaceDN w:val="0"/>
      <w:jc w:val="left"/>
    </w:pPr>
    <w:rPr>
      <w:rFonts w:eastAsia="Times New Roman" w:cs="Arial"/>
      <w:b/>
      <w:szCs w:val="20"/>
      <w:lang w:eastAsia="ru-RU"/>
    </w:rPr>
  </w:style>
  <w:style w:type="paragraph" w:customStyle="1" w:styleId="ConsPlusTitlePage">
    <w:name w:val="ConsPlusTitlePage"/>
    <w:rsid w:val="0004170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F34838FDEB79423F715A570DB778F026D9B4CC35E4E11B4F2EF11B9804288D54309DD873DDAE2z54FL" TargetMode="External"/><Relationship Id="rId13" Type="http://schemas.openxmlformats.org/officeDocument/2006/relationships/hyperlink" Target="consultantplus://offline/ref=611F34838FDEB79423F715A570DB778F0262924AC0544E11B4F2EF11B9804288D54309DD873DDAE3z54CL" TargetMode="External"/><Relationship Id="rId18" Type="http://schemas.openxmlformats.org/officeDocument/2006/relationships/hyperlink" Target="consultantplus://offline/ref=611F34838FDEB79423F715A570DB778F026F914FC55C4E11B4F2EF11B9804288D54309DD873DDAE0z54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1F34838FDEB79423F715A570DB778F026B954DCC5A4E11B4F2EF11B9z840L" TargetMode="External"/><Relationship Id="rId12" Type="http://schemas.openxmlformats.org/officeDocument/2006/relationships/hyperlink" Target="consultantplus://offline/ref=611F34838FDEB79423F715A570DB778F0262944AC65B4E11B4F2EF11B9804288D54309DD873DDAE4z545L" TargetMode="External"/><Relationship Id="rId17" Type="http://schemas.openxmlformats.org/officeDocument/2006/relationships/hyperlink" Target="consultantplus://offline/ref=611F34838FDEB79423F715A570DB778F026F934BC3544E11B4F2EF11B9804288D54309DD873DDAE0z54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1F34838FDEB79423F715A570DB778F026B914AC45A4E11B4F2EF11B9804288D54309DD873DDAE0z54D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F34838FDEB79423F715A570DB778F026C9B48C55B4E11B4F2EF11B9804288D54309DD873DDAE5z54FL" TargetMode="External"/><Relationship Id="rId11" Type="http://schemas.openxmlformats.org/officeDocument/2006/relationships/hyperlink" Target="consultantplus://offline/ref=611F34838FDEB79423F715A570DB778F0262944AC65B4E11B4F2EF11B9804288D54309DD873DDAE4z545L" TargetMode="External"/><Relationship Id="rId5" Type="http://schemas.openxmlformats.org/officeDocument/2006/relationships/hyperlink" Target="consultantplus://offline/ref=611F34838FDEB79423F715A570DB778F0262924AC0544E11B4F2EF11B9804288D54309DD873DDAE7z54CL" TargetMode="External"/><Relationship Id="rId15" Type="http://schemas.openxmlformats.org/officeDocument/2006/relationships/hyperlink" Target="consultantplus://offline/ref=611F34838FDEB79423F715A570DB778F026D9B49C1554E11B4F2EF11B9z840L" TargetMode="External"/><Relationship Id="rId10" Type="http://schemas.openxmlformats.org/officeDocument/2006/relationships/hyperlink" Target="consultantplus://offline/ref=611F34838FDEB79423F715A570DB778F0262944AC65B4E11B4F2EF11B9804288D54309DD873DDAE4z54A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11F34838FDEB79423F715A570DB778F0262944AC65B4E11B4F2EF11B9804288D54309DD873DDAE4z54BL" TargetMode="External"/><Relationship Id="rId9" Type="http://schemas.openxmlformats.org/officeDocument/2006/relationships/hyperlink" Target="consultantplus://offline/ref=611F34838FDEB79423F715A570DB778F0262944AC65B4E11B4F2EF11B9804288D54309DD873DDAE4z54BL" TargetMode="External"/><Relationship Id="rId14" Type="http://schemas.openxmlformats.org/officeDocument/2006/relationships/hyperlink" Target="consultantplus://offline/ref=611F34838FDEB79423F715A570DB778F026D9B49C05D4E11B4F2EF11B9z84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5708</Words>
  <Characters>32538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Любовь Ивановна</dc:creator>
  <cp:keywords/>
  <dc:description/>
  <cp:lastModifiedBy>Колесникова Любовь Ивановна</cp:lastModifiedBy>
  <cp:revision>1</cp:revision>
  <dcterms:created xsi:type="dcterms:W3CDTF">2015-10-22T11:56:00Z</dcterms:created>
  <dcterms:modified xsi:type="dcterms:W3CDTF">2015-10-22T12:00:00Z</dcterms:modified>
</cp:coreProperties>
</file>