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0B" w:rsidRDefault="00C06E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6E0B" w:rsidRDefault="00C06E0B">
      <w:pPr>
        <w:pStyle w:val="ConsPlusNormal"/>
        <w:jc w:val="both"/>
      </w:pPr>
    </w:p>
    <w:p w:rsidR="00C06E0B" w:rsidRDefault="00C06E0B">
      <w:pPr>
        <w:pStyle w:val="ConsPlusNormal"/>
      </w:pPr>
      <w:r>
        <w:t>Зарегистрировано в Минюсте России 23 октября 2014 г. N 34413</w:t>
      </w:r>
    </w:p>
    <w:p w:rsidR="00C06E0B" w:rsidRDefault="00C06E0B">
      <w:pPr>
        <w:pStyle w:val="ConsPlusNormal"/>
        <w:pBdr>
          <w:top w:val="single" w:sz="6" w:space="0" w:color="auto"/>
        </w:pBdr>
        <w:spacing w:before="100" w:after="100"/>
        <w:jc w:val="both"/>
        <w:rPr>
          <w:sz w:val="2"/>
          <w:szCs w:val="2"/>
        </w:rPr>
      </w:pPr>
    </w:p>
    <w:p w:rsidR="00C06E0B" w:rsidRDefault="00C06E0B">
      <w:pPr>
        <w:pStyle w:val="ConsPlusNormal"/>
        <w:jc w:val="center"/>
      </w:pPr>
    </w:p>
    <w:p w:rsidR="00C06E0B" w:rsidRDefault="00C06E0B">
      <w:pPr>
        <w:pStyle w:val="ConsPlusTitle"/>
        <w:jc w:val="center"/>
      </w:pPr>
      <w:r>
        <w:t>МИНИСТЕРСТВО ОБРАЗОВАНИЯ И НАУКИ РОССИЙСКОЙ ФЕДЕРАЦИИ</w:t>
      </w:r>
    </w:p>
    <w:p w:rsidR="00C06E0B" w:rsidRDefault="00C06E0B">
      <w:pPr>
        <w:pStyle w:val="ConsPlusTitle"/>
        <w:jc w:val="center"/>
      </w:pPr>
    </w:p>
    <w:p w:rsidR="00C06E0B" w:rsidRDefault="00C06E0B">
      <w:pPr>
        <w:pStyle w:val="ConsPlusTitle"/>
        <w:jc w:val="center"/>
      </w:pPr>
      <w:r>
        <w:t>ПРИКАЗ</w:t>
      </w:r>
    </w:p>
    <w:p w:rsidR="00C06E0B" w:rsidRDefault="00C06E0B">
      <w:pPr>
        <w:pStyle w:val="ConsPlusTitle"/>
        <w:jc w:val="center"/>
      </w:pPr>
      <w:r>
        <w:t>от 27 августа 2014 г. N 1144</w:t>
      </w:r>
    </w:p>
    <w:p w:rsidR="00C06E0B" w:rsidRDefault="00C06E0B">
      <w:pPr>
        <w:pStyle w:val="ConsPlusTitle"/>
        <w:jc w:val="center"/>
      </w:pPr>
    </w:p>
    <w:p w:rsidR="00C06E0B" w:rsidRDefault="00C06E0B">
      <w:pPr>
        <w:pStyle w:val="ConsPlusTitle"/>
        <w:jc w:val="center"/>
      </w:pPr>
      <w:r>
        <w:t>ОБ УТВЕРЖДЕНИИ</w:t>
      </w:r>
    </w:p>
    <w:p w:rsidR="00C06E0B" w:rsidRDefault="00C06E0B">
      <w:pPr>
        <w:pStyle w:val="ConsPlusTitle"/>
        <w:jc w:val="center"/>
      </w:pPr>
      <w:r>
        <w:t>ФЕДЕРАЛЬНОГО ГОСУДАРСТВЕННОГО ОБРАЗОВАТЕЛЬНОГО СТАНДАРТА</w:t>
      </w:r>
    </w:p>
    <w:p w:rsidR="00C06E0B" w:rsidRDefault="00C06E0B">
      <w:pPr>
        <w:pStyle w:val="ConsPlusTitle"/>
        <w:jc w:val="center"/>
      </w:pPr>
      <w:r>
        <w:t>ВЫСШЕГО ОБРАЗОВАНИЯ ПО СПЕЦИАЛЬНОСТИ 33.08.03</w:t>
      </w:r>
    </w:p>
    <w:p w:rsidR="00C06E0B" w:rsidRDefault="00C06E0B">
      <w:pPr>
        <w:pStyle w:val="ConsPlusTitle"/>
        <w:jc w:val="center"/>
      </w:pPr>
      <w:r>
        <w:t>ФАРМАЦЕВТИЧЕСКАЯ ХИМИЯ И ФАРМАКОГНОЗИЯ (УРОВЕНЬ</w:t>
      </w:r>
    </w:p>
    <w:p w:rsidR="00C06E0B" w:rsidRDefault="00C06E0B">
      <w:pPr>
        <w:pStyle w:val="ConsPlusTitle"/>
        <w:jc w:val="center"/>
      </w:pPr>
      <w:r>
        <w:t>ПОДГОТОВКИ КАДРОВ ВЫСШЕЙ КВАЛИФИКАЦИИ)</w:t>
      </w:r>
    </w:p>
    <w:p w:rsidR="00C06E0B" w:rsidRDefault="00C06E0B">
      <w:pPr>
        <w:pStyle w:val="ConsPlusNormal"/>
        <w:jc w:val="center"/>
      </w:pPr>
    </w:p>
    <w:p w:rsidR="00C06E0B" w:rsidRDefault="00C06E0B">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06E0B" w:rsidRDefault="00C06E0B">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33.08.03 Фармацевтическая химия и фармакогнозия (уровень подготовки кадров высшей квалификации).</w:t>
      </w:r>
    </w:p>
    <w:p w:rsidR="00C06E0B" w:rsidRDefault="00C06E0B">
      <w:pPr>
        <w:pStyle w:val="ConsPlusNormal"/>
        <w:ind w:firstLine="540"/>
        <w:jc w:val="both"/>
      </w:pPr>
    </w:p>
    <w:p w:rsidR="00C06E0B" w:rsidRDefault="00C06E0B">
      <w:pPr>
        <w:pStyle w:val="ConsPlusNormal"/>
        <w:jc w:val="right"/>
      </w:pPr>
      <w:r>
        <w:t>Министр</w:t>
      </w:r>
    </w:p>
    <w:p w:rsidR="00C06E0B" w:rsidRDefault="00C06E0B">
      <w:pPr>
        <w:pStyle w:val="ConsPlusNormal"/>
        <w:jc w:val="right"/>
      </w:pPr>
      <w:r>
        <w:t>Д.В.ЛИВАНОВ</w:t>
      </w:r>
    </w:p>
    <w:p w:rsidR="00C06E0B" w:rsidRDefault="00C06E0B">
      <w:pPr>
        <w:pStyle w:val="ConsPlusNormal"/>
        <w:ind w:firstLine="540"/>
        <w:jc w:val="both"/>
      </w:pPr>
    </w:p>
    <w:p w:rsidR="00C06E0B" w:rsidRDefault="00C06E0B">
      <w:pPr>
        <w:pStyle w:val="ConsPlusNormal"/>
        <w:ind w:firstLine="540"/>
        <w:jc w:val="both"/>
      </w:pPr>
    </w:p>
    <w:p w:rsidR="00C06E0B" w:rsidRDefault="00C06E0B">
      <w:pPr>
        <w:pStyle w:val="ConsPlusNormal"/>
        <w:ind w:firstLine="540"/>
        <w:jc w:val="both"/>
      </w:pPr>
    </w:p>
    <w:p w:rsidR="00C06E0B" w:rsidRDefault="00C06E0B">
      <w:pPr>
        <w:pStyle w:val="ConsPlusNormal"/>
        <w:ind w:firstLine="540"/>
        <w:jc w:val="both"/>
      </w:pPr>
    </w:p>
    <w:p w:rsidR="00C06E0B" w:rsidRDefault="00C06E0B">
      <w:pPr>
        <w:pStyle w:val="ConsPlusNormal"/>
        <w:ind w:firstLine="540"/>
        <w:jc w:val="both"/>
      </w:pPr>
    </w:p>
    <w:p w:rsidR="00C06E0B" w:rsidRDefault="00C06E0B">
      <w:pPr>
        <w:pStyle w:val="ConsPlusNormal"/>
        <w:jc w:val="right"/>
      </w:pPr>
      <w:r>
        <w:t>Приложение</w:t>
      </w:r>
    </w:p>
    <w:p w:rsidR="00C06E0B" w:rsidRDefault="00C06E0B">
      <w:pPr>
        <w:pStyle w:val="ConsPlusNormal"/>
        <w:jc w:val="right"/>
      </w:pPr>
    </w:p>
    <w:p w:rsidR="00C06E0B" w:rsidRDefault="00C06E0B">
      <w:pPr>
        <w:pStyle w:val="ConsPlusNormal"/>
        <w:jc w:val="right"/>
      </w:pPr>
      <w:r>
        <w:t>Утвержден</w:t>
      </w:r>
    </w:p>
    <w:p w:rsidR="00C06E0B" w:rsidRDefault="00C06E0B">
      <w:pPr>
        <w:pStyle w:val="ConsPlusNormal"/>
        <w:jc w:val="right"/>
      </w:pPr>
      <w:r>
        <w:t>приказом Министерства образования</w:t>
      </w:r>
    </w:p>
    <w:p w:rsidR="00C06E0B" w:rsidRDefault="00C06E0B">
      <w:pPr>
        <w:pStyle w:val="ConsPlusNormal"/>
        <w:jc w:val="right"/>
      </w:pPr>
      <w:r>
        <w:t>и науки Российской Федерации</w:t>
      </w:r>
    </w:p>
    <w:p w:rsidR="00C06E0B" w:rsidRDefault="00C06E0B">
      <w:pPr>
        <w:pStyle w:val="ConsPlusNormal"/>
        <w:jc w:val="right"/>
      </w:pPr>
      <w:r>
        <w:t>от 27 августа 2014 г. N 1144</w:t>
      </w:r>
    </w:p>
    <w:p w:rsidR="00C06E0B" w:rsidRDefault="00C06E0B">
      <w:pPr>
        <w:pStyle w:val="ConsPlusNormal"/>
        <w:ind w:firstLine="540"/>
        <w:jc w:val="both"/>
      </w:pPr>
    </w:p>
    <w:p w:rsidR="00C06E0B" w:rsidRDefault="00C06E0B">
      <w:pPr>
        <w:pStyle w:val="ConsPlusTitle"/>
        <w:jc w:val="center"/>
      </w:pPr>
      <w:bookmarkStart w:id="0" w:name="P32"/>
      <w:bookmarkEnd w:id="0"/>
      <w:r>
        <w:t>ФЕДЕРАЛЬНЫЙ ГОСУДАРСТВЕННЫЙ ОБРАЗОВАТЕЛЬНЫЙ СТАНДАРТ</w:t>
      </w:r>
    </w:p>
    <w:p w:rsidR="00C06E0B" w:rsidRDefault="00C06E0B">
      <w:pPr>
        <w:pStyle w:val="ConsPlusTitle"/>
        <w:jc w:val="center"/>
      </w:pPr>
      <w:r>
        <w:t>ВЫСШЕГО ОБРАЗОВАНИЯ</w:t>
      </w:r>
    </w:p>
    <w:p w:rsidR="00C06E0B" w:rsidRDefault="00C06E0B">
      <w:pPr>
        <w:pStyle w:val="ConsPlusTitle"/>
        <w:jc w:val="center"/>
      </w:pPr>
    </w:p>
    <w:p w:rsidR="00C06E0B" w:rsidRDefault="00C06E0B">
      <w:pPr>
        <w:pStyle w:val="ConsPlusTitle"/>
        <w:jc w:val="center"/>
      </w:pPr>
      <w:r>
        <w:t>УРОВЕНЬ ВЫСШЕГО ОБРАЗОВАНИЯ</w:t>
      </w:r>
    </w:p>
    <w:p w:rsidR="00C06E0B" w:rsidRDefault="00C06E0B">
      <w:pPr>
        <w:pStyle w:val="ConsPlusTitle"/>
        <w:jc w:val="center"/>
      </w:pPr>
      <w:r>
        <w:t>ПОДГОТОВКА КАДРОВ ВЫСШЕЙ КВАЛИФИКАЦИИ</w:t>
      </w:r>
    </w:p>
    <w:p w:rsidR="00C06E0B" w:rsidRDefault="00C06E0B">
      <w:pPr>
        <w:pStyle w:val="ConsPlusTitle"/>
        <w:jc w:val="center"/>
      </w:pPr>
    </w:p>
    <w:p w:rsidR="00C06E0B" w:rsidRDefault="00C06E0B">
      <w:pPr>
        <w:pStyle w:val="ConsPlusTitle"/>
        <w:jc w:val="center"/>
      </w:pPr>
      <w:r>
        <w:t>СПЕЦИАЛЬНОСТЬ</w:t>
      </w:r>
    </w:p>
    <w:p w:rsidR="00C06E0B" w:rsidRDefault="00C06E0B">
      <w:pPr>
        <w:pStyle w:val="ConsPlusTitle"/>
        <w:jc w:val="center"/>
      </w:pPr>
      <w:r>
        <w:t>33.08.03 ФАРМАЦЕВТИЧЕСКАЯ ХИМИЯ И ФАРМАКОГНОЗИЯ</w:t>
      </w:r>
    </w:p>
    <w:p w:rsidR="00C06E0B" w:rsidRDefault="00C06E0B">
      <w:pPr>
        <w:pStyle w:val="ConsPlusNormal"/>
        <w:ind w:firstLine="540"/>
        <w:jc w:val="both"/>
      </w:pPr>
    </w:p>
    <w:p w:rsidR="00C06E0B" w:rsidRDefault="00C06E0B">
      <w:pPr>
        <w:pStyle w:val="ConsPlusNormal"/>
        <w:jc w:val="center"/>
      </w:pPr>
      <w:r>
        <w:lastRenderedPageBreak/>
        <w:t>I. ОБЛАСТЬ ПРИМЕНЕНИЯ</w:t>
      </w:r>
    </w:p>
    <w:p w:rsidR="00C06E0B" w:rsidRDefault="00C06E0B">
      <w:pPr>
        <w:pStyle w:val="ConsPlusNormal"/>
        <w:ind w:firstLine="540"/>
        <w:jc w:val="both"/>
      </w:pPr>
    </w:p>
    <w:p w:rsidR="00C06E0B" w:rsidRDefault="00C06E0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33.08.03 Фармацевтическая химия и фармакогнозия (далее соответственно - программа ординатуры, специальность).</w:t>
      </w:r>
    </w:p>
    <w:p w:rsidR="00C06E0B" w:rsidRDefault="00C06E0B">
      <w:pPr>
        <w:pStyle w:val="ConsPlusNormal"/>
        <w:ind w:firstLine="540"/>
        <w:jc w:val="both"/>
      </w:pPr>
    </w:p>
    <w:p w:rsidR="00C06E0B" w:rsidRDefault="00C06E0B">
      <w:pPr>
        <w:pStyle w:val="ConsPlusNormal"/>
        <w:jc w:val="center"/>
      </w:pPr>
      <w:r>
        <w:t>II. ИСПОЛЬЗУЕМЫЕ СОКРАЩЕНИЯ</w:t>
      </w:r>
    </w:p>
    <w:p w:rsidR="00C06E0B" w:rsidRDefault="00C06E0B">
      <w:pPr>
        <w:pStyle w:val="ConsPlusNormal"/>
        <w:ind w:firstLine="540"/>
        <w:jc w:val="both"/>
      </w:pPr>
    </w:p>
    <w:p w:rsidR="00C06E0B" w:rsidRDefault="00C06E0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06E0B" w:rsidRDefault="00C06E0B">
      <w:pPr>
        <w:pStyle w:val="ConsPlusNormal"/>
        <w:ind w:firstLine="540"/>
        <w:jc w:val="both"/>
      </w:pPr>
      <w:r>
        <w:t>УК - универсальные компетенции;</w:t>
      </w:r>
    </w:p>
    <w:p w:rsidR="00C06E0B" w:rsidRDefault="00C06E0B">
      <w:pPr>
        <w:pStyle w:val="ConsPlusNormal"/>
        <w:ind w:firstLine="540"/>
        <w:jc w:val="both"/>
      </w:pPr>
      <w:r>
        <w:t>ПК - профессиональные компетенции;</w:t>
      </w:r>
    </w:p>
    <w:p w:rsidR="00C06E0B" w:rsidRDefault="00C06E0B">
      <w:pPr>
        <w:pStyle w:val="ConsPlusNormal"/>
        <w:ind w:firstLine="540"/>
        <w:jc w:val="both"/>
      </w:pPr>
      <w:r>
        <w:t>ФГОС ВО - федеральный государственный образовательный стандарт высшего образования;</w:t>
      </w:r>
    </w:p>
    <w:p w:rsidR="00C06E0B" w:rsidRDefault="00C06E0B">
      <w:pPr>
        <w:pStyle w:val="ConsPlusNormal"/>
        <w:ind w:firstLine="540"/>
        <w:jc w:val="both"/>
      </w:pPr>
      <w:r>
        <w:t>сетевая форма - сетевая форма реализации образовательных программ.</w:t>
      </w:r>
    </w:p>
    <w:p w:rsidR="00C06E0B" w:rsidRDefault="00C06E0B">
      <w:pPr>
        <w:pStyle w:val="ConsPlusNormal"/>
        <w:ind w:firstLine="540"/>
        <w:jc w:val="both"/>
      </w:pPr>
    </w:p>
    <w:p w:rsidR="00C06E0B" w:rsidRDefault="00C06E0B">
      <w:pPr>
        <w:pStyle w:val="ConsPlusNormal"/>
        <w:jc w:val="center"/>
      </w:pPr>
      <w:r>
        <w:t>III. ХАРАКТЕРИСТИКА СПЕЦИАЛЬНОСТИ</w:t>
      </w:r>
    </w:p>
    <w:p w:rsidR="00C06E0B" w:rsidRDefault="00C06E0B">
      <w:pPr>
        <w:pStyle w:val="ConsPlusNormal"/>
        <w:ind w:firstLine="540"/>
        <w:jc w:val="both"/>
      </w:pPr>
    </w:p>
    <w:p w:rsidR="00C06E0B" w:rsidRDefault="00C06E0B">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C06E0B" w:rsidRDefault="00C06E0B">
      <w:pPr>
        <w:pStyle w:val="ConsPlusNormal"/>
        <w:ind w:firstLine="540"/>
        <w:jc w:val="both"/>
      </w:pPr>
      <w:r>
        <w:t>3.2. Обучение по программе ординатуры в организациях осуществляется в очной форме обучения.</w:t>
      </w:r>
    </w:p>
    <w:p w:rsidR="00C06E0B" w:rsidRDefault="00C06E0B">
      <w:pPr>
        <w:pStyle w:val="ConsPlusNormal"/>
        <w:ind w:firstLine="540"/>
        <w:jc w:val="both"/>
      </w:pPr>
      <w:r>
        <w:t xml:space="preserve">Объем программы ординатуры составляет 120 зачетных единиц (далее - </w:t>
      </w:r>
      <w:proofErr w:type="spellStart"/>
      <w:r>
        <w:t>з.е</w:t>
      </w:r>
      <w:proofErr w:type="spellEnd"/>
      <w: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06E0B" w:rsidRDefault="00C06E0B">
      <w:pPr>
        <w:pStyle w:val="ConsPlusNormal"/>
        <w:ind w:firstLine="540"/>
        <w:jc w:val="both"/>
      </w:pPr>
      <w:r>
        <w:t>3.3. Срок получения образования по программе ординатуры:</w:t>
      </w:r>
    </w:p>
    <w:p w:rsidR="00C06E0B" w:rsidRDefault="00C06E0B">
      <w:pPr>
        <w:pStyle w:val="ConsPlusNormal"/>
        <w:ind w:firstLine="540"/>
        <w:jc w:val="both"/>
      </w:pPr>
      <w: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t>з.е</w:t>
      </w:r>
      <w:proofErr w:type="spellEnd"/>
      <w:r>
        <w:t>.;</w:t>
      </w:r>
    </w:p>
    <w:p w:rsidR="00C06E0B" w:rsidRDefault="00C06E0B">
      <w:pPr>
        <w:pStyle w:val="ConsPlusNormal"/>
        <w:ind w:firstLine="540"/>
        <w:jc w:val="both"/>
      </w:pPr>
      <w: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t>з.е</w:t>
      </w:r>
      <w:proofErr w:type="spellEnd"/>
      <w:r>
        <w:t>.</w:t>
      </w:r>
    </w:p>
    <w:p w:rsidR="00C06E0B" w:rsidRDefault="00C06E0B">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w:t>
      </w:r>
      <w:r>
        <w:lastRenderedPageBreak/>
        <w:t>регистрационный N 30304), а также государственной итоговой аттестации.</w:t>
      </w:r>
    </w:p>
    <w:p w:rsidR="00C06E0B" w:rsidRDefault="00C06E0B">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06E0B" w:rsidRDefault="00C06E0B">
      <w:pPr>
        <w:pStyle w:val="ConsPlusNormal"/>
        <w:ind w:firstLine="540"/>
        <w:jc w:val="both"/>
      </w:pPr>
      <w:r>
        <w:t>3.5. Реализация программы ординатуры возможна с использованием сетевой формы.</w:t>
      </w:r>
    </w:p>
    <w:p w:rsidR="00C06E0B" w:rsidRDefault="00C06E0B">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C06E0B" w:rsidRDefault="00C06E0B">
      <w:pPr>
        <w:pStyle w:val="ConsPlusNormal"/>
        <w:ind w:firstLine="540"/>
        <w:jc w:val="both"/>
      </w:pPr>
    </w:p>
    <w:p w:rsidR="00C06E0B" w:rsidRDefault="00C06E0B">
      <w:pPr>
        <w:pStyle w:val="ConsPlusNormal"/>
        <w:jc w:val="center"/>
      </w:pPr>
      <w:r>
        <w:t>IV. ХАРАКТЕРИСТИКА ПРОФЕССИОНАЛЬНОЙ ДЕЯТЕЛЬНОСТИ</w:t>
      </w:r>
    </w:p>
    <w:p w:rsidR="00C06E0B" w:rsidRDefault="00C06E0B">
      <w:pPr>
        <w:pStyle w:val="ConsPlusNormal"/>
        <w:jc w:val="center"/>
      </w:pPr>
      <w:r>
        <w:t>ВЫПУСКНИКОВ, ОСВОИВШИХ ПРОГРАММУ ОРДИНАТУРЫ</w:t>
      </w:r>
    </w:p>
    <w:p w:rsidR="00C06E0B" w:rsidRDefault="00C06E0B">
      <w:pPr>
        <w:pStyle w:val="ConsPlusNormal"/>
        <w:ind w:firstLine="540"/>
        <w:jc w:val="both"/>
      </w:pPr>
    </w:p>
    <w:p w:rsidR="00C06E0B" w:rsidRDefault="00C06E0B">
      <w:pPr>
        <w:pStyle w:val="ConsPlusNormal"/>
        <w:ind w:firstLine="540"/>
        <w:jc w:val="both"/>
      </w:pPr>
      <w:r>
        <w:t>4.1. Область профессиональной деятельности выпускников, освоивших программу ординатуры, включает обращение лекарственных средств.</w:t>
      </w:r>
    </w:p>
    <w:p w:rsidR="00C06E0B" w:rsidRDefault="00C06E0B">
      <w:pPr>
        <w:pStyle w:val="ConsPlusNormal"/>
        <w:ind w:firstLine="540"/>
        <w:jc w:val="both"/>
      </w:pPr>
      <w:r>
        <w:t>4.2. Объектами профессиональной деятельности выпускников, освоивших программу ординатуры, являются:</w:t>
      </w:r>
    </w:p>
    <w:p w:rsidR="00C06E0B" w:rsidRDefault="00C06E0B">
      <w:pPr>
        <w:pStyle w:val="ConsPlusNormal"/>
        <w:ind w:firstLine="540"/>
        <w:jc w:val="both"/>
      </w:pPr>
      <w:r>
        <w:t>лекарственные средства;</w:t>
      </w:r>
    </w:p>
    <w:p w:rsidR="00C06E0B" w:rsidRDefault="00C06E0B">
      <w:pPr>
        <w:pStyle w:val="ConsPlusNormal"/>
        <w:ind w:firstLine="540"/>
        <w:jc w:val="both"/>
      </w:pPr>
      <w: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C06E0B" w:rsidRDefault="00C06E0B">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C06E0B" w:rsidRDefault="00C06E0B">
      <w:pPr>
        <w:pStyle w:val="ConsPlusNormal"/>
        <w:ind w:firstLine="540"/>
        <w:jc w:val="both"/>
      </w:pPr>
      <w:r>
        <w:t>производственно-технологическая;</w:t>
      </w:r>
    </w:p>
    <w:p w:rsidR="00C06E0B" w:rsidRDefault="00C06E0B">
      <w:pPr>
        <w:pStyle w:val="ConsPlusNormal"/>
        <w:ind w:firstLine="540"/>
        <w:jc w:val="both"/>
      </w:pPr>
      <w:r>
        <w:t>контрольно-разрешительная;</w:t>
      </w:r>
    </w:p>
    <w:p w:rsidR="00C06E0B" w:rsidRDefault="00C06E0B">
      <w:pPr>
        <w:pStyle w:val="ConsPlusNormal"/>
        <w:ind w:firstLine="540"/>
        <w:jc w:val="both"/>
      </w:pPr>
      <w:r>
        <w:t>организационно-управленческая.</w:t>
      </w:r>
    </w:p>
    <w:p w:rsidR="00C06E0B" w:rsidRDefault="00C06E0B">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C06E0B" w:rsidRDefault="00C06E0B">
      <w:pPr>
        <w:pStyle w:val="ConsPlusNormal"/>
        <w:ind w:firstLine="540"/>
        <w:jc w:val="both"/>
      </w:pPr>
      <w:r>
        <w:t>4.4. Выпускник, освоивший программу ординатуры, готов решать следующие профессиональные задачи:</w:t>
      </w:r>
    </w:p>
    <w:p w:rsidR="00C06E0B" w:rsidRDefault="00C06E0B">
      <w:pPr>
        <w:pStyle w:val="ConsPlusNormal"/>
        <w:ind w:firstLine="540"/>
        <w:jc w:val="both"/>
      </w:pPr>
      <w:r>
        <w:t>производственно-технологическая деятельность:</w:t>
      </w:r>
    </w:p>
    <w:p w:rsidR="00C06E0B" w:rsidRDefault="00C06E0B">
      <w:pPr>
        <w:pStyle w:val="ConsPlusNormal"/>
        <w:ind w:firstLine="540"/>
        <w:jc w:val="both"/>
      </w:pPr>
      <w:r>
        <w:t>проведение экспертиз лекарственных средств;</w:t>
      </w:r>
    </w:p>
    <w:p w:rsidR="00C06E0B" w:rsidRDefault="00C06E0B">
      <w:pPr>
        <w:pStyle w:val="ConsPlusNormal"/>
        <w:ind w:firstLine="540"/>
        <w:jc w:val="both"/>
      </w:pPr>
      <w:r>
        <w:t>проведение химико-токсикологических экспертиз;</w:t>
      </w:r>
    </w:p>
    <w:p w:rsidR="00C06E0B" w:rsidRDefault="00C06E0B">
      <w:pPr>
        <w:pStyle w:val="ConsPlusNormal"/>
        <w:ind w:firstLine="540"/>
        <w:jc w:val="both"/>
      </w:pPr>
      <w:r>
        <w:t>контрольно-разрешительная деятельность:</w:t>
      </w:r>
    </w:p>
    <w:p w:rsidR="00C06E0B" w:rsidRDefault="00C06E0B">
      <w:pPr>
        <w:pStyle w:val="ConsPlusNormal"/>
        <w:ind w:firstLine="540"/>
        <w:jc w:val="both"/>
      </w:pPr>
      <w:r>
        <w:t>проведение контрольно-разрешительных процедур, связанных с обращением лекарственных средств и обеспечивающих качество лекарственных средств;</w:t>
      </w:r>
    </w:p>
    <w:p w:rsidR="00C06E0B" w:rsidRDefault="00C06E0B">
      <w:pPr>
        <w:pStyle w:val="ConsPlusNormal"/>
        <w:ind w:firstLine="540"/>
        <w:jc w:val="both"/>
      </w:pPr>
      <w:r>
        <w:t>организационно-управленческая деятельность:</w:t>
      </w:r>
    </w:p>
    <w:p w:rsidR="00C06E0B" w:rsidRDefault="00C06E0B">
      <w:pPr>
        <w:pStyle w:val="ConsPlusNormal"/>
        <w:ind w:firstLine="540"/>
        <w:jc w:val="both"/>
      </w:pPr>
      <w:r>
        <w:t>организация контрольно-разрешительных процедур, связанных с обращением лекарственных средств;</w:t>
      </w:r>
    </w:p>
    <w:p w:rsidR="00C06E0B" w:rsidRDefault="00C06E0B">
      <w:pPr>
        <w:pStyle w:val="ConsPlusNormal"/>
        <w:ind w:firstLine="540"/>
        <w:jc w:val="both"/>
      </w:pPr>
      <w:r>
        <w:t>организация и проведение мероприятий по хранению, перевозке, изъятию и уничтожению лекарственных средств;</w:t>
      </w:r>
    </w:p>
    <w:p w:rsidR="00C06E0B" w:rsidRDefault="00C06E0B">
      <w:pPr>
        <w:pStyle w:val="ConsPlusNormal"/>
        <w:ind w:firstLine="540"/>
        <w:jc w:val="both"/>
      </w:pPr>
      <w:r>
        <w:t>ведение учетно-отчетной документации в фармацевтической организации;</w:t>
      </w:r>
    </w:p>
    <w:p w:rsidR="00C06E0B" w:rsidRDefault="00C06E0B">
      <w:pPr>
        <w:pStyle w:val="ConsPlusNormal"/>
        <w:ind w:firstLine="540"/>
        <w:jc w:val="both"/>
      </w:pPr>
      <w:r>
        <w:t>организация труда персонала в фармацевтических организациях и (или) их структурных подразделениях с учетом требований техники безопасности и охраны труда;</w:t>
      </w:r>
    </w:p>
    <w:p w:rsidR="00C06E0B" w:rsidRDefault="00C06E0B">
      <w:pPr>
        <w:pStyle w:val="ConsPlusNormal"/>
        <w:ind w:firstLine="540"/>
        <w:jc w:val="both"/>
      </w:pPr>
      <w:r>
        <w:t>соблюдение основных требований информационной безопасности.</w:t>
      </w:r>
    </w:p>
    <w:p w:rsidR="00C06E0B" w:rsidRDefault="00C06E0B">
      <w:pPr>
        <w:pStyle w:val="ConsPlusNormal"/>
        <w:ind w:firstLine="540"/>
        <w:jc w:val="both"/>
      </w:pPr>
    </w:p>
    <w:p w:rsidR="00C06E0B" w:rsidRDefault="00C06E0B">
      <w:pPr>
        <w:pStyle w:val="ConsPlusNormal"/>
        <w:jc w:val="center"/>
      </w:pPr>
      <w:r>
        <w:t>V. ТРЕБОВАНИЯ К РЕЗУЛЬТАТАМ ОСВОЕНИЯ ПРОГРАММЫ ОРДИНАТУРЫ</w:t>
      </w:r>
    </w:p>
    <w:p w:rsidR="00C06E0B" w:rsidRDefault="00C06E0B">
      <w:pPr>
        <w:pStyle w:val="ConsPlusNormal"/>
        <w:ind w:firstLine="540"/>
        <w:jc w:val="both"/>
      </w:pPr>
    </w:p>
    <w:p w:rsidR="00C06E0B" w:rsidRDefault="00C06E0B">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C06E0B" w:rsidRDefault="00C06E0B">
      <w:pPr>
        <w:pStyle w:val="ConsPlusNormal"/>
        <w:ind w:firstLine="540"/>
        <w:jc w:val="both"/>
      </w:pPr>
      <w:r>
        <w:lastRenderedPageBreak/>
        <w:t>5.2. Выпускник, освоивший программу ординатуры, должен обладать следующими универсальными компетенциями:</w:t>
      </w:r>
    </w:p>
    <w:p w:rsidR="00C06E0B" w:rsidRDefault="00C06E0B">
      <w:pPr>
        <w:pStyle w:val="ConsPlusNormal"/>
        <w:ind w:firstLine="540"/>
        <w:jc w:val="both"/>
      </w:pPr>
      <w:r>
        <w:t>готовностью к абстрактному мышлению, анализу, синтезу (УК-1);</w:t>
      </w:r>
    </w:p>
    <w:p w:rsidR="00C06E0B" w:rsidRDefault="00C06E0B">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C06E0B" w:rsidRDefault="00C06E0B">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C06E0B" w:rsidRDefault="00C06E0B">
      <w:pPr>
        <w:pStyle w:val="ConsPlusNormal"/>
        <w:ind w:firstLine="540"/>
        <w:jc w:val="both"/>
      </w:pPr>
      <w:r>
        <w:t>--------------------------------</w:t>
      </w:r>
    </w:p>
    <w:p w:rsidR="00C06E0B" w:rsidRDefault="00C06E0B">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C06E0B" w:rsidRDefault="00C06E0B">
      <w:pPr>
        <w:pStyle w:val="ConsPlusNormal"/>
        <w:ind w:firstLine="540"/>
        <w:jc w:val="both"/>
      </w:pPr>
    </w:p>
    <w:p w:rsidR="00C06E0B" w:rsidRDefault="00C06E0B">
      <w:pPr>
        <w:pStyle w:val="ConsPlusNormal"/>
        <w:ind w:firstLine="540"/>
        <w:jc w:val="both"/>
      </w:pPr>
      <w:r>
        <w:t>5.3. Выпускник, освоивший программу ординатуры, должен обладать профессиональными компетенциями:</w:t>
      </w:r>
    </w:p>
    <w:p w:rsidR="00C06E0B" w:rsidRDefault="00C06E0B">
      <w:pPr>
        <w:pStyle w:val="ConsPlusNormal"/>
        <w:ind w:firstLine="540"/>
        <w:jc w:val="both"/>
      </w:pPr>
      <w:r>
        <w:t>производственно-технологическая деятельность:</w:t>
      </w:r>
    </w:p>
    <w:p w:rsidR="00C06E0B" w:rsidRDefault="00C06E0B">
      <w:pPr>
        <w:pStyle w:val="ConsPlusNormal"/>
        <w:ind w:firstLine="540"/>
        <w:jc w:val="both"/>
      </w:pPr>
      <w:r>
        <w:t>готовность к проведению экспертизы лекарственных средств с помощью химических, биологических, физико-химических и иных методов (ПК-1);</w:t>
      </w:r>
    </w:p>
    <w:p w:rsidR="00C06E0B" w:rsidRDefault="00C06E0B">
      <w:pPr>
        <w:pStyle w:val="ConsPlusNormal"/>
        <w:ind w:firstLine="540"/>
        <w:jc w:val="both"/>
      </w:pPr>
      <w:r>
        <w:t>готовность к проведению экспертиз, предусмотренных при государственной регистрации лекарственных препаратов (ПК-2);</w:t>
      </w:r>
    </w:p>
    <w:p w:rsidR="00C06E0B" w:rsidRDefault="00C06E0B">
      <w:pPr>
        <w:pStyle w:val="ConsPlusNormal"/>
        <w:ind w:firstLine="540"/>
        <w:jc w:val="both"/>
      </w:pPr>
      <w:r>
        <w:t>готовность к проведению химико-токсикологических экспертиз и интерпретации их результатов (ПК-3);</w:t>
      </w:r>
    </w:p>
    <w:p w:rsidR="00C06E0B" w:rsidRDefault="00C06E0B">
      <w:pPr>
        <w:pStyle w:val="ConsPlusNormal"/>
        <w:ind w:firstLine="540"/>
        <w:jc w:val="both"/>
      </w:pPr>
      <w:r>
        <w:t>готовность к применению специализированного оборудования, предусмотренного для использования в профессиональной сфере (ПК-4);</w:t>
      </w:r>
    </w:p>
    <w:p w:rsidR="00C06E0B" w:rsidRDefault="00C06E0B">
      <w:pPr>
        <w:pStyle w:val="ConsPlusNormal"/>
        <w:ind w:firstLine="540"/>
        <w:jc w:val="both"/>
      </w:pPr>
      <w:r>
        <w:t>готовность к обеспечению условий хранения и перевозки лекарственных средств (ПК-5);</w:t>
      </w:r>
    </w:p>
    <w:p w:rsidR="00C06E0B" w:rsidRDefault="00C06E0B">
      <w:pPr>
        <w:pStyle w:val="ConsPlusNormal"/>
        <w:ind w:firstLine="540"/>
        <w:jc w:val="both"/>
      </w:pPr>
      <w:r>
        <w:t>контрольно-разрешительная деятельность:</w:t>
      </w:r>
    </w:p>
    <w:p w:rsidR="00C06E0B" w:rsidRDefault="00C06E0B">
      <w:pPr>
        <w:pStyle w:val="ConsPlusNormal"/>
        <w:ind w:firstLine="540"/>
        <w:jc w:val="both"/>
      </w:pPr>
      <w:r>
        <w:t>готовность к проведению контроля качества лекарственных средств в условиях фармацевтических организаций (ПК-6);</w:t>
      </w:r>
    </w:p>
    <w:p w:rsidR="00C06E0B" w:rsidRDefault="00C06E0B">
      <w:pPr>
        <w:pStyle w:val="ConsPlusNormal"/>
        <w:ind w:firstLine="540"/>
        <w:jc w:val="both"/>
      </w:pPr>
      <w:r>
        <w:t>готовность к проведению процедур ввоза лекарственных средств в Российскую Федерации и вывоза лекарственных средств из Российской Федерации (ПК-7);</w:t>
      </w:r>
    </w:p>
    <w:p w:rsidR="00C06E0B" w:rsidRDefault="00C06E0B">
      <w:pPr>
        <w:pStyle w:val="ConsPlusNormal"/>
        <w:ind w:firstLine="540"/>
        <w:jc w:val="both"/>
      </w:pPr>
      <w:r>
        <w:t>организационно-управленческая деятельность:</w:t>
      </w:r>
    </w:p>
    <w:p w:rsidR="00C06E0B" w:rsidRDefault="00C06E0B">
      <w:pPr>
        <w:pStyle w:val="ConsPlusNormal"/>
        <w:ind w:firstLine="540"/>
        <w:jc w:val="both"/>
      </w:pPr>
      <w:r>
        <w:t>готовность к организации контроля качества лекарственных средств в условиях фармацевтических организаций (ПК-8);</w:t>
      </w:r>
    </w:p>
    <w:p w:rsidR="00C06E0B" w:rsidRDefault="00C06E0B">
      <w:pPr>
        <w:pStyle w:val="ConsPlusNormal"/>
        <w:ind w:firstLine="540"/>
        <w:jc w:val="both"/>
      </w:pPr>
      <w:r>
        <w:t>готовность использовать основы экономических и правовых знаний в профессиональной деятельности (ПК-9);</w:t>
      </w:r>
    </w:p>
    <w:p w:rsidR="00C06E0B" w:rsidRDefault="00C06E0B">
      <w:pPr>
        <w:pStyle w:val="ConsPlusNormal"/>
        <w:ind w:firstLine="540"/>
        <w:jc w:val="both"/>
      </w:pPr>
      <w:r>
        <w:t>готовность к применению основных принципов управления в профессиональной сфере (ПК-10);</w:t>
      </w:r>
    </w:p>
    <w:p w:rsidR="00C06E0B" w:rsidRDefault="00C06E0B">
      <w:pPr>
        <w:pStyle w:val="ConsPlusNormal"/>
        <w:ind w:firstLine="540"/>
        <w:jc w:val="both"/>
      </w:pPr>
      <w:r>
        <w:t>готовность к проведению процедур по изъятию из гражданского оборота фальсифицированных, недоброкачественных и контрафактных лекарственных средств и их уничтожению (ПК-11).</w:t>
      </w:r>
    </w:p>
    <w:p w:rsidR="00C06E0B" w:rsidRDefault="00C06E0B">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C06E0B" w:rsidRDefault="00C06E0B">
      <w:pPr>
        <w:pStyle w:val="ConsPlusNormal"/>
        <w:ind w:firstLine="540"/>
        <w:jc w:val="both"/>
      </w:pPr>
      <w:r>
        <w:t xml:space="preserve">5.5. При разработке программы ординатуры организация вправе дополнить набор компетенций выпускников в части программы, формируемой участниками </w:t>
      </w:r>
      <w:r>
        <w:lastRenderedPageBreak/>
        <w:t>образовательных отношений.</w:t>
      </w:r>
    </w:p>
    <w:p w:rsidR="00C06E0B" w:rsidRDefault="00C06E0B">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06E0B" w:rsidRDefault="00C06E0B">
      <w:pPr>
        <w:pStyle w:val="ConsPlusNormal"/>
        <w:ind w:firstLine="540"/>
        <w:jc w:val="both"/>
      </w:pPr>
    </w:p>
    <w:p w:rsidR="00C06E0B" w:rsidRDefault="00C06E0B">
      <w:pPr>
        <w:pStyle w:val="ConsPlusNormal"/>
        <w:jc w:val="center"/>
      </w:pPr>
      <w:r>
        <w:t>VI. ТРЕБОВАНИЯ К СТРУКТУРЕ ПРОГРАММЫ ОРДИНАТУРЫ</w:t>
      </w:r>
    </w:p>
    <w:p w:rsidR="00C06E0B" w:rsidRDefault="00C06E0B">
      <w:pPr>
        <w:pStyle w:val="ConsPlusNormal"/>
        <w:ind w:firstLine="540"/>
        <w:jc w:val="both"/>
      </w:pPr>
    </w:p>
    <w:p w:rsidR="00C06E0B" w:rsidRDefault="00C06E0B">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06E0B" w:rsidRDefault="00C06E0B">
      <w:pPr>
        <w:pStyle w:val="ConsPlusNormal"/>
        <w:ind w:firstLine="540"/>
        <w:jc w:val="both"/>
      </w:pPr>
      <w:r>
        <w:t>6.2. Программа ординатуры состоит из следующих блоков:</w:t>
      </w:r>
    </w:p>
    <w:p w:rsidR="00C06E0B" w:rsidRDefault="00C06E0B">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06E0B" w:rsidRDefault="00C06E0B">
      <w:pPr>
        <w:pStyle w:val="ConsPlusNormal"/>
        <w:ind w:firstLine="540"/>
        <w:jc w:val="both"/>
      </w:pPr>
      <w:r>
        <w:t>Блок 2 "Практики", относящийся как к базовой части программы, так и к ее вариативной части.</w:t>
      </w:r>
    </w:p>
    <w:p w:rsidR="00C06E0B" w:rsidRDefault="00C06E0B">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"Провизор-аналитик".</w:t>
      </w:r>
    </w:p>
    <w:p w:rsidR="00C06E0B" w:rsidRDefault="00C06E0B">
      <w:pPr>
        <w:sectPr w:rsidR="00C06E0B" w:rsidSect="006F3041">
          <w:pgSz w:w="11906" w:h="16838"/>
          <w:pgMar w:top="1134" w:right="850" w:bottom="1134" w:left="1418" w:header="709" w:footer="709" w:gutter="0"/>
          <w:cols w:space="708"/>
          <w:docGrid w:linePitch="360"/>
        </w:sectPr>
      </w:pPr>
    </w:p>
    <w:p w:rsidR="00C06E0B" w:rsidRDefault="00C06E0B">
      <w:pPr>
        <w:pStyle w:val="ConsPlusNormal"/>
        <w:ind w:firstLine="540"/>
        <w:jc w:val="both"/>
      </w:pPr>
    </w:p>
    <w:p w:rsidR="00C06E0B" w:rsidRDefault="00C06E0B">
      <w:pPr>
        <w:pStyle w:val="ConsPlusNormal"/>
        <w:jc w:val="center"/>
      </w:pPr>
      <w:r>
        <w:t>Структура программы ординатуры</w:t>
      </w:r>
    </w:p>
    <w:p w:rsidR="00C06E0B" w:rsidRDefault="00C06E0B">
      <w:pPr>
        <w:pStyle w:val="ConsPlusNormal"/>
        <w:jc w:val="center"/>
      </w:pPr>
    </w:p>
    <w:p w:rsidR="00C06E0B" w:rsidRDefault="00C06E0B">
      <w:pPr>
        <w:pStyle w:val="ConsPlusNormal"/>
        <w:jc w:val="right"/>
      </w:pPr>
      <w:r>
        <w:t>Таблица</w:t>
      </w:r>
    </w:p>
    <w:p w:rsidR="00C06E0B" w:rsidRDefault="00C06E0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891"/>
        <w:gridCol w:w="3340"/>
      </w:tblGrid>
      <w:tr w:rsidR="00C06E0B">
        <w:tc>
          <w:tcPr>
            <w:tcW w:w="6365" w:type="dxa"/>
            <w:gridSpan w:val="2"/>
          </w:tcPr>
          <w:p w:rsidR="00C06E0B" w:rsidRDefault="00C06E0B">
            <w:pPr>
              <w:pStyle w:val="ConsPlusNormal"/>
              <w:jc w:val="center"/>
            </w:pPr>
            <w:r>
              <w:t>Структура программы ординатуры</w:t>
            </w:r>
          </w:p>
        </w:tc>
        <w:tc>
          <w:tcPr>
            <w:tcW w:w="3340" w:type="dxa"/>
          </w:tcPr>
          <w:p w:rsidR="00C06E0B" w:rsidRDefault="00C06E0B">
            <w:pPr>
              <w:pStyle w:val="ConsPlusNormal"/>
              <w:jc w:val="center"/>
            </w:pPr>
            <w:r>
              <w:t xml:space="preserve">Объем программы ординатуры в </w:t>
            </w:r>
            <w:proofErr w:type="spellStart"/>
            <w:r>
              <w:t>з.е</w:t>
            </w:r>
            <w:proofErr w:type="spellEnd"/>
            <w:r>
              <w:t>.</w:t>
            </w:r>
          </w:p>
        </w:tc>
      </w:tr>
      <w:tr w:rsidR="00C06E0B">
        <w:tc>
          <w:tcPr>
            <w:tcW w:w="1474" w:type="dxa"/>
          </w:tcPr>
          <w:p w:rsidR="00C06E0B" w:rsidRDefault="00C06E0B">
            <w:pPr>
              <w:pStyle w:val="ConsPlusNormal"/>
            </w:pPr>
            <w:r>
              <w:t>Блок 1</w:t>
            </w:r>
          </w:p>
        </w:tc>
        <w:tc>
          <w:tcPr>
            <w:tcW w:w="4891" w:type="dxa"/>
          </w:tcPr>
          <w:p w:rsidR="00C06E0B" w:rsidRDefault="00C06E0B">
            <w:pPr>
              <w:pStyle w:val="ConsPlusNormal"/>
            </w:pPr>
            <w:r>
              <w:t>Дисциплины (модули)</w:t>
            </w:r>
          </w:p>
        </w:tc>
        <w:tc>
          <w:tcPr>
            <w:tcW w:w="3340" w:type="dxa"/>
          </w:tcPr>
          <w:p w:rsidR="00C06E0B" w:rsidRDefault="00C06E0B">
            <w:pPr>
              <w:pStyle w:val="ConsPlusNormal"/>
              <w:jc w:val="center"/>
            </w:pPr>
            <w:r>
              <w:t>42 - 48</w:t>
            </w:r>
          </w:p>
        </w:tc>
      </w:tr>
      <w:tr w:rsidR="00C06E0B">
        <w:tc>
          <w:tcPr>
            <w:tcW w:w="1474" w:type="dxa"/>
            <w:vMerge w:val="restart"/>
          </w:tcPr>
          <w:p w:rsidR="00C06E0B" w:rsidRDefault="00C06E0B">
            <w:pPr>
              <w:pStyle w:val="ConsPlusNormal"/>
            </w:pPr>
          </w:p>
        </w:tc>
        <w:tc>
          <w:tcPr>
            <w:tcW w:w="4891" w:type="dxa"/>
          </w:tcPr>
          <w:p w:rsidR="00C06E0B" w:rsidRDefault="00C06E0B">
            <w:pPr>
              <w:pStyle w:val="ConsPlusNormal"/>
            </w:pPr>
            <w:r>
              <w:t>Базовая часть</w:t>
            </w:r>
          </w:p>
        </w:tc>
        <w:tc>
          <w:tcPr>
            <w:tcW w:w="3340" w:type="dxa"/>
          </w:tcPr>
          <w:p w:rsidR="00C06E0B" w:rsidRDefault="00C06E0B">
            <w:pPr>
              <w:pStyle w:val="ConsPlusNormal"/>
              <w:jc w:val="center"/>
            </w:pPr>
            <w:r>
              <w:t>33 - 39</w:t>
            </w:r>
          </w:p>
        </w:tc>
      </w:tr>
      <w:tr w:rsidR="00C06E0B">
        <w:tc>
          <w:tcPr>
            <w:tcW w:w="1474" w:type="dxa"/>
            <w:vMerge/>
          </w:tcPr>
          <w:p w:rsidR="00C06E0B" w:rsidRDefault="00C06E0B"/>
        </w:tc>
        <w:tc>
          <w:tcPr>
            <w:tcW w:w="4891" w:type="dxa"/>
          </w:tcPr>
          <w:p w:rsidR="00C06E0B" w:rsidRDefault="00C06E0B">
            <w:pPr>
              <w:pStyle w:val="ConsPlusNormal"/>
            </w:pPr>
            <w:r>
              <w:t>Вариативная часть</w:t>
            </w:r>
          </w:p>
        </w:tc>
        <w:tc>
          <w:tcPr>
            <w:tcW w:w="3340" w:type="dxa"/>
          </w:tcPr>
          <w:p w:rsidR="00C06E0B" w:rsidRDefault="00C06E0B">
            <w:pPr>
              <w:pStyle w:val="ConsPlusNormal"/>
              <w:jc w:val="center"/>
            </w:pPr>
            <w:r>
              <w:t>6 - 12</w:t>
            </w:r>
          </w:p>
        </w:tc>
      </w:tr>
      <w:tr w:rsidR="00C06E0B">
        <w:tc>
          <w:tcPr>
            <w:tcW w:w="1474" w:type="dxa"/>
            <w:vMerge w:val="restart"/>
          </w:tcPr>
          <w:p w:rsidR="00C06E0B" w:rsidRDefault="00C06E0B">
            <w:pPr>
              <w:pStyle w:val="ConsPlusNormal"/>
            </w:pPr>
            <w:r>
              <w:t>Блок 2</w:t>
            </w:r>
          </w:p>
        </w:tc>
        <w:tc>
          <w:tcPr>
            <w:tcW w:w="4891" w:type="dxa"/>
          </w:tcPr>
          <w:p w:rsidR="00C06E0B" w:rsidRDefault="00C06E0B">
            <w:pPr>
              <w:pStyle w:val="ConsPlusNormal"/>
            </w:pPr>
            <w:r>
              <w:t>Практики</w:t>
            </w:r>
          </w:p>
        </w:tc>
        <w:tc>
          <w:tcPr>
            <w:tcW w:w="3340" w:type="dxa"/>
          </w:tcPr>
          <w:p w:rsidR="00C06E0B" w:rsidRDefault="00C06E0B">
            <w:pPr>
              <w:pStyle w:val="ConsPlusNormal"/>
              <w:jc w:val="center"/>
            </w:pPr>
            <w:r>
              <w:t>69 - 75</w:t>
            </w:r>
          </w:p>
        </w:tc>
      </w:tr>
      <w:tr w:rsidR="00C06E0B">
        <w:tc>
          <w:tcPr>
            <w:tcW w:w="1474" w:type="dxa"/>
            <w:vMerge/>
          </w:tcPr>
          <w:p w:rsidR="00C06E0B" w:rsidRDefault="00C06E0B"/>
        </w:tc>
        <w:tc>
          <w:tcPr>
            <w:tcW w:w="4891" w:type="dxa"/>
          </w:tcPr>
          <w:p w:rsidR="00C06E0B" w:rsidRDefault="00C06E0B">
            <w:pPr>
              <w:pStyle w:val="ConsPlusNormal"/>
            </w:pPr>
            <w:r>
              <w:t>Базовая часть</w:t>
            </w:r>
          </w:p>
        </w:tc>
        <w:tc>
          <w:tcPr>
            <w:tcW w:w="3340" w:type="dxa"/>
          </w:tcPr>
          <w:p w:rsidR="00C06E0B" w:rsidRDefault="00C06E0B">
            <w:pPr>
              <w:pStyle w:val="ConsPlusNormal"/>
              <w:jc w:val="center"/>
            </w:pPr>
            <w:r>
              <w:t>60 - 66</w:t>
            </w:r>
          </w:p>
        </w:tc>
      </w:tr>
      <w:tr w:rsidR="00C06E0B">
        <w:tc>
          <w:tcPr>
            <w:tcW w:w="1474" w:type="dxa"/>
            <w:vMerge/>
          </w:tcPr>
          <w:p w:rsidR="00C06E0B" w:rsidRDefault="00C06E0B"/>
        </w:tc>
        <w:tc>
          <w:tcPr>
            <w:tcW w:w="4891" w:type="dxa"/>
          </w:tcPr>
          <w:p w:rsidR="00C06E0B" w:rsidRDefault="00C06E0B">
            <w:pPr>
              <w:pStyle w:val="ConsPlusNormal"/>
            </w:pPr>
            <w:r>
              <w:t>Вариативная часть</w:t>
            </w:r>
          </w:p>
        </w:tc>
        <w:tc>
          <w:tcPr>
            <w:tcW w:w="3340" w:type="dxa"/>
          </w:tcPr>
          <w:p w:rsidR="00C06E0B" w:rsidRDefault="00C06E0B">
            <w:pPr>
              <w:pStyle w:val="ConsPlusNormal"/>
              <w:jc w:val="center"/>
            </w:pPr>
            <w:r>
              <w:t>6 - 12</w:t>
            </w:r>
          </w:p>
        </w:tc>
      </w:tr>
      <w:tr w:rsidR="00C06E0B">
        <w:tc>
          <w:tcPr>
            <w:tcW w:w="1474" w:type="dxa"/>
            <w:vMerge w:val="restart"/>
          </w:tcPr>
          <w:p w:rsidR="00C06E0B" w:rsidRDefault="00C06E0B">
            <w:pPr>
              <w:pStyle w:val="ConsPlusNormal"/>
            </w:pPr>
            <w:r>
              <w:t>Блок 3</w:t>
            </w:r>
          </w:p>
        </w:tc>
        <w:tc>
          <w:tcPr>
            <w:tcW w:w="4891" w:type="dxa"/>
          </w:tcPr>
          <w:p w:rsidR="00C06E0B" w:rsidRDefault="00C06E0B">
            <w:pPr>
              <w:pStyle w:val="ConsPlusNormal"/>
            </w:pPr>
            <w:r>
              <w:t>Государственная итоговая аттестация</w:t>
            </w:r>
          </w:p>
        </w:tc>
        <w:tc>
          <w:tcPr>
            <w:tcW w:w="3340" w:type="dxa"/>
          </w:tcPr>
          <w:p w:rsidR="00C06E0B" w:rsidRDefault="00C06E0B">
            <w:pPr>
              <w:pStyle w:val="ConsPlusNormal"/>
              <w:jc w:val="center"/>
            </w:pPr>
            <w:r>
              <w:t>3</w:t>
            </w:r>
          </w:p>
        </w:tc>
      </w:tr>
      <w:tr w:rsidR="00C06E0B">
        <w:tc>
          <w:tcPr>
            <w:tcW w:w="1474" w:type="dxa"/>
            <w:vMerge/>
          </w:tcPr>
          <w:p w:rsidR="00C06E0B" w:rsidRDefault="00C06E0B"/>
        </w:tc>
        <w:tc>
          <w:tcPr>
            <w:tcW w:w="4891" w:type="dxa"/>
            <w:vAlign w:val="bottom"/>
          </w:tcPr>
          <w:p w:rsidR="00C06E0B" w:rsidRDefault="00C06E0B">
            <w:pPr>
              <w:pStyle w:val="ConsPlusNormal"/>
            </w:pPr>
            <w:r>
              <w:t>Базовая часть</w:t>
            </w:r>
          </w:p>
        </w:tc>
        <w:tc>
          <w:tcPr>
            <w:tcW w:w="3340" w:type="dxa"/>
            <w:vAlign w:val="bottom"/>
          </w:tcPr>
          <w:p w:rsidR="00C06E0B" w:rsidRDefault="00C06E0B">
            <w:pPr>
              <w:pStyle w:val="ConsPlusNormal"/>
              <w:jc w:val="center"/>
            </w:pPr>
            <w:r>
              <w:t>3</w:t>
            </w:r>
          </w:p>
        </w:tc>
      </w:tr>
      <w:tr w:rsidR="00C06E0B">
        <w:tc>
          <w:tcPr>
            <w:tcW w:w="6365" w:type="dxa"/>
            <w:gridSpan w:val="2"/>
          </w:tcPr>
          <w:p w:rsidR="00C06E0B" w:rsidRDefault="00C06E0B">
            <w:pPr>
              <w:pStyle w:val="ConsPlusNormal"/>
            </w:pPr>
            <w:r>
              <w:t>Объем программы ординатуры</w:t>
            </w:r>
          </w:p>
        </w:tc>
        <w:tc>
          <w:tcPr>
            <w:tcW w:w="3340" w:type="dxa"/>
          </w:tcPr>
          <w:p w:rsidR="00C06E0B" w:rsidRDefault="00C06E0B">
            <w:pPr>
              <w:pStyle w:val="ConsPlusNormal"/>
              <w:jc w:val="center"/>
            </w:pPr>
            <w:r>
              <w:t>120</w:t>
            </w:r>
          </w:p>
        </w:tc>
      </w:tr>
    </w:tbl>
    <w:p w:rsidR="00C06E0B" w:rsidRDefault="00C06E0B">
      <w:pPr>
        <w:sectPr w:rsidR="00C06E0B">
          <w:pgSz w:w="16838" w:h="11905"/>
          <w:pgMar w:top="1418" w:right="1134" w:bottom="850" w:left="1134" w:header="0" w:footer="0" w:gutter="0"/>
          <w:cols w:space="720"/>
        </w:sectPr>
      </w:pPr>
    </w:p>
    <w:p w:rsidR="00C06E0B" w:rsidRDefault="00C06E0B">
      <w:pPr>
        <w:pStyle w:val="ConsPlusNormal"/>
        <w:ind w:firstLine="540"/>
        <w:jc w:val="both"/>
      </w:pPr>
    </w:p>
    <w:p w:rsidR="00C06E0B" w:rsidRDefault="00C06E0B">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06E0B" w:rsidRDefault="00C06E0B">
      <w:pPr>
        <w:pStyle w:val="ConsPlusNormal"/>
        <w:ind w:firstLine="540"/>
        <w:jc w:val="both"/>
      </w:pPr>
      <w:r>
        <w:t>6.4. Дисциплины (модули) по фармацевтическому анализу,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C06E0B" w:rsidRDefault="00C06E0B">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C06E0B" w:rsidRDefault="00C06E0B">
      <w:pPr>
        <w:pStyle w:val="ConsPlusNormal"/>
        <w:ind w:firstLine="540"/>
        <w:jc w:val="both"/>
      </w:pPr>
      <w:r>
        <w:t>--------------------------------</w:t>
      </w:r>
    </w:p>
    <w:p w:rsidR="00C06E0B" w:rsidRDefault="00C06E0B">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C06E0B" w:rsidRDefault="00C06E0B">
      <w:pPr>
        <w:pStyle w:val="ConsPlusNormal"/>
        <w:ind w:firstLine="540"/>
        <w:jc w:val="both"/>
      </w:pPr>
    </w:p>
    <w:p w:rsidR="00C06E0B" w:rsidRDefault="00C06E0B">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C06E0B" w:rsidRDefault="00C06E0B">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C06E0B" w:rsidRDefault="00C06E0B">
      <w:pPr>
        <w:pStyle w:val="ConsPlusNormal"/>
        <w:ind w:firstLine="540"/>
        <w:jc w:val="both"/>
      </w:pPr>
      <w:r>
        <w:t>6.6. В Блок 2 "Практики" входит производственная (клиническая) практика.</w:t>
      </w:r>
    </w:p>
    <w:p w:rsidR="00C06E0B" w:rsidRDefault="00C06E0B">
      <w:pPr>
        <w:pStyle w:val="ConsPlusNormal"/>
        <w:ind w:firstLine="540"/>
        <w:jc w:val="both"/>
      </w:pPr>
      <w:r>
        <w:t>Способы проведения производственной (клинической) практики:</w:t>
      </w:r>
    </w:p>
    <w:p w:rsidR="00C06E0B" w:rsidRDefault="00C06E0B">
      <w:pPr>
        <w:pStyle w:val="ConsPlusNormal"/>
        <w:ind w:firstLine="540"/>
        <w:jc w:val="both"/>
      </w:pPr>
      <w:r>
        <w:t>стационарная;</w:t>
      </w:r>
    </w:p>
    <w:p w:rsidR="00C06E0B" w:rsidRDefault="00C06E0B">
      <w:pPr>
        <w:pStyle w:val="ConsPlusNormal"/>
        <w:ind w:firstLine="540"/>
        <w:jc w:val="both"/>
      </w:pPr>
      <w:r>
        <w:t>выездная.</w:t>
      </w:r>
    </w:p>
    <w:p w:rsidR="00C06E0B" w:rsidRDefault="00C06E0B">
      <w:pPr>
        <w:pStyle w:val="ConsPlusNormal"/>
        <w:ind w:firstLine="540"/>
        <w:jc w:val="both"/>
      </w:pPr>
      <w:r>
        <w:t>Практики могут проводиться в структурных подразделениях организации.</w:t>
      </w:r>
    </w:p>
    <w:p w:rsidR="00C06E0B" w:rsidRDefault="00C06E0B">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06E0B" w:rsidRDefault="00C06E0B">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C06E0B" w:rsidRDefault="00C06E0B">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06E0B" w:rsidRDefault="00C06E0B">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C06E0B" w:rsidRDefault="00C06E0B">
      <w:pPr>
        <w:pStyle w:val="ConsPlusNormal"/>
        <w:ind w:firstLine="540"/>
        <w:jc w:val="both"/>
      </w:pPr>
    </w:p>
    <w:p w:rsidR="00C06E0B" w:rsidRDefault="00C06E0B">
      <w:pPr>
        <w:pStyle w:val="ConsPlusNormal"/>
        <w:jc w:val="center"/>
      </w:pPr>
      <w:r>
        <w:t>VII. ТРЕБОВАНИЯ К УСЛОВИЯМ РЕАЛИЗАЦИИ ПРОГРАММЫ ОРДИНАТУРЫ</w:t>
      </w:r>
    </w:p>
    <w:p w:rsidR="00C06E0B" w:rsidRDefault="00C06E0B">
      <w:pPr>
        <w:pStyle w:val="ConsPlusNormal"/>
        <w:ind w:firstLine="540"/>
        <w:jc w:val="both"/>
      </w:pPr>
    </w:p>
    <w:p w:rsidR="00C06E0B" w:rsidRDefault="00C06E0B">
      <w:pPr>
        <w:pStyle w:val="ConsPlusNormal"/>
        <w:ind w:firstLine="540"/>
        <w:jc w:val="both"/>
      </w:pPr>
      <w:r>
        <w:t>7.1. Общесистемные требования к реализации программы ординатуры.</w:t>
      </w:r>
    </w:p>
    <w:p w:rsidR="00C06E0B" w:rsidRDefault="00C06E0B">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06E0B" w:rsidRDefault="00C06E0B">
      <w:pPr>
        <w:pStyle w:val="ConsPlusNormal"/>
        <w:ind w:firstLine="540"/>
        <w:jc w:val="both"/>
      </w:pPr>
      <w:r>
        <w:t xml:space="preserve">7.1.2. Каждый обучающийся в течение всего периода обучения должен быть </w:t>
      </w:r>
      <w:r>
        <w:lastRenderedPageBreak/>
        <w:t xml:space="preserve">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06E0B" w:rsidRDefault="00C06E0B">
      <w:pPr>
        <w:pStyle w:val="ConsPlusNormal"/>
        <w:ind w:firstLine="540"/>
        <w:jc w:val="both"/>
      </w:pPr>
      <w:r>
        <w:t>Электронная информационно-образовательная среда организации должна обеспечивать:</w:t>
      </w:r>
    </w:p>
    <w:p w:rsidR="00C06E0B" w:rsidRDefault="00C06E0B">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06E0B" w:rsidRDefault="00C06E0B">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06E0B" w:rsidRDefault="00C06E0B">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6E0B" w:rsidRDefault="00C06E0B">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6E0B" w:rsidRDefault="00C06E0B">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6E0B" w:rsidRDefault="00C06E0B">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06E0B" w:rsidRDefault="00C06E0B">
      <w:pPr>
        <w:pStyle w:val="ConsPlusNormal"/>
        <w:ind w:firstLine="540"/>
        <w:jc w:val="both"/>
      </w:pPr>
      <w:r>
        <w:t>--------------------------------</w:t>
      </w:r>
    </w:p>
    <w:p w:rsidR="00C06E0B" w:rsidRDefault="00C06E0B">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06E0B" w:rsidRDefault="00C06E0B">
      <w:pPr>
        <w:pStyle w:val="ConsPlusNormal"/>
        <w:ind w:firstLine="540"/>
        <w:jc w:val="both"/>
      </w:pPr>
    </w:p>
    <w:p w:rsidR="00C06E0B" w:rsidRDefault="00C06E0B">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06E0B" w:rsidRDefault="00C06E0B">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C06E0B" w:rsidRDefault="00C06E0B">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w:t>
      </w:r>
      <w:r>
        <w:lastRenderedPageBreak/>
        <w:t xml:space="preserve">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06E0B" w:rsidRDefault="00C06E0B">
      <w:pPr>
        <w:pStyle w:val="ConsPlusNormal"/>
        <w:ind w:firstLine="540"/>
        <w:jc w:val="both"/>
      </w:pPr>
      <w:r>
        <w:t>--------------------------------</w:t>
      </w:r>
    </w:p>
    <w:p w:rsidR="00C06E0B" w:rsidRDefault="00C06E0B">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C06E0B" w:rsidRDefault="00C06E0B">
      <w:pPr>
        <w:pStyle w:val="ConsPlusNormal"/>
        <w:ind w:firstLine="540"/>
        <w:jc w:val="both"/>
      </w:pPr>
    </w:p>
    <w:p w:rsidR="00C06E0B" w:rsidRDefault="00C06E0B">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C06E0B" w:rsidRDefault="00C06E0B">
      <w:pPr>
        <w:pStyle w:val="ConsPlusNormal"/>
        <w:ind w:firstLine="540"/>
        <w:jc w:val="both"/>
      </w:pPr>
    </w:p>
    <w:p w:rsidR="00C06E0B" w:rsidRDefault="00C06E0B">
      <w:pPr>
        <w:pStyle w:val="ConsPlusNormal"/>
        <w:ind w:firstLine="540"/>
        <w:jc w:val="both"/>
      </w:pPr>
      <w:r>
        <w:t>7.2. Требования к кадровым условиям реализации программ ординатуры.</w:t>
      </w:r>
    </w:p>
    <w:p w:rsidR="00C06E0B" w:rsidRDefault="00C06E0B">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06E0B" w:rsidRDefault="00C06E0B">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C06E0B" w:rsidRDefault="00C06E0B">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C06E0B" w:rsidRDefault="00C06E0B">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C06E0B" w:rsidRDefault="00C06E0B">
      <w:pPr>
        <w:pStyle w:val="ConsPlusNormal"/>
        <w:ind w:firstLine="540"/>
        <w:jc w:val="both"/>
      </w:pPr>
    </w:p>
    <w:p w:rsidR="00C06E0B" w:rsidRDefault="00C06E0B">
      <w:pPr>
        <w:pStyle w:val="ConsPlusNormal"/>
        <w:ind w:firstLine="540"/>
        <w:jc w:val="both"/>
      </w:pPr>
      <w:r>
        <w:t>7.3. Требования к материально-техническому и учебно-методическому обеспечению программы ординатуры.</w:t>
      </w:r>
    </w:p>
    <w:p w:rsidR="00C06E0B" w:rsidRDefault="00C06E0B">
      <w:pPr>
        <w:pStyle w:val="ConsPlusNormal"/>
        <w:ind w:firstLine="540"/>
        <w:jc w:val="both"/>
      </w:pPr>
      <w:r>
        <w:t xml:space="preserve">7.3.1. Минимально необходимый для реализации программы ординатуры перечень материально-технического обеспечения включает в себя специально </w:t>
      </w:r>
      <w:r>
        <w:lastRenderedPageBreak/>
        <w:t>оборудованные помещения для проведения учебных занятий, в том числе:</w:t>
      </w:r>
    </w:p>
    <w:p w:rsidR="00C06E0B" w:rsidRDefault="00C06E0B">
      <w:pPr>
        <w:pStyle w:val="ConsPlusNormal"/>
        <w:ind w:firstLine="540"/>
        <w:jc w:val="both"/>
      </w:pPr>
      <w:r>
        <w:t xml:space="preserve">аудитории, оборудованные </w:t>
      </w:r>
      <w:proofErr w:type="gramStart"/>
      <w:r>
        <w:t>мультимедийными и иными средствами обучения</w:t>
      </w:r>
      <w:proofErr w:type="gramEnd"/>
      <w:r>
        <w:t xml:space="preserve"> позволяющими использовать </w:t>
      </w:r>
      <w:proofErr w:type="spellStart"/>
      <w:r>
        <w:t>симуляционные</w:t>
      </w:r>
      <w:proofErr w:type="spellEnd"/>
      <w:r>
        <w:t xml:space="preserve">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w:t>
      </w:r>
    </w:p>
    <w:p w:rsidR="00C06E0B" w:rsidRDefault="00C06E0B">
      <w:pPr>
        <w:pStyle w:val="ConsPlusNormal"/>
        <w:ind w:firstLine="540"/>
        <w:jc w:val="both"/>
      </w:pPr>
      <w:r>
        <w:t xml:space="preserve">лаборатории, оснащенные специализированным оборудованием (фотоколориметр, спектрофотометр, кондуктометр, колориметр, </w:t>
      </w:r>
      <w:proofErr w:type="spellStart"/>
      <w:r>
        <w:t>pH</w:t>
      </w:r>
      <w:proofErr w:type="spellEnd"/>
      <w:r>
        <w:t xml:space="preserve">-метр, УЭФ-спектрофотометр, ИК-спектрофотометр, газожидкостный хроматограф, жидкостный хроматограф, оборудование для тонкослойной хроматографии, </w:t>
      </w:r>
      <w:proofErr w:type="spellStart"/>
      <w:r>
        <w:t>титратор</w:t>
      </w:r>
      <w:proofErr w:type="spellEnd"/>
      <w:r>
        <w:t xml:space="preserve">, рефрактометр, поляриметр, муфельная печь, калориметр, спектроскоп двухтрубный, поляризационный микроскоп, микроскоп биологический, микроскоп люминесцентный, </w:t>
      </w:r>
      <w:proofErr w:type="spellStart"/>
      <w:r>
        <w:t>диоптриметр</w:t>
      </w:r>
      <w:proofErr w:type="spellEnd"/>
      <w:r>
        <w:t xml:space="preserve"> оптический, фотометр, вискозиметр, пикнометр, ареометр, прибор для измерения линейных и угловых величин, осциллограф, прибор дозиметрического контроля, оборудование для измельчения лекарственного растительного сырья)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C06E0B" w:rsidRDefault="00C06E0B">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06E0B" w:rsidRDefault="00C06E0B">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06E0B" w:rsidRDefault="00C06E0B">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06E0B" w:rsidRDefault="00C06E0B">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06E0B" w:rsidRDefault="00C06E0B">
      <w:pPr>
        <w:pStyle w:val="ConsPlusNormal"/>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ординатуры.</w:t>
      </w:r>
    </w:p>
    <w:p w:rsidR="00C06E0B" w:rsidRDefault="00C06E0B">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06E0B" w:rsidRDefault="00C06E0B">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06E0B" w:rsidRDefault="00C06E0B">
      <w:pPr>
        <w:pStyle w:val="ConsPlusNormal"/>
        <w:ind w:firstLine="540"/>
        <w:jc w:val="both"/>
      </w:pPr>
    </w:p>
    <w:p w:rsidR="00C06E0B" w:rsidRDefault="00C06E0B">
      <w:pPr>
        <w:pStyle w:val="ConsPlusNormal"/>
        <w:ind w:firstLine="540"/>
        <w:jc w:val="both"/>
      </w:pPr>
      <w:r>
        <w:t>7.4. Требования к финансовым условиям реализации программы ординатуры.</w:t>
      </w:r>
    </w:p>
    <w:p w:rsidR="00C06E0B" w:rsidRDefault="00C06E0B">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w:t>
      </w:r>
      <w:r>
        <w:lastRenderedPageBreak/>
        <w:t xml:space="preserve">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06E0B" w:rsidRDefault="00C06E0B">
      <w:pPr>
        <w:pStyle w:val="ConsPlusNormal"/>
        <w:ind w:firstLine="540"/>
        <w:jc w:val="both"/>
      </w:pPr>
    </w:p>
    <w:p w:rsidR="00C06E0B" w:rsidRDefault="00C06E0B">
      <w:pPr>
        <w:pStyle w:val="ConsPlusNormal"/>
        <w:ind w:firstLine="540"/>
        <w:jc w:val="both"/>
      </w:pPr>
    </w:p>
    <w:p w:rsidR="00C06E0B" w:rsidRDefault="00C06E0B">
      <w:pPr>
        <w:pStyle w:val="ConsPlusNormal"/>
        <w:pBdr>
          <w:top w:val="single" w:sz="6" w:space="0" w:color="auto"/>
        </w:pBdr>
        <w:spacing w:before="100" w:after="100"/>
        <w:jc w:val="both"/>
        <w:rPr>
          <w:sz w:val="2"/>
          <w:szCs w:val="2"/>
        </w:rPr>
      </w:pPr>
    </w:p>
    <w:p w:rsidR="00595B94" w:rsidRDefault="00595B94">
      <w:bookmarkStart w:id="1" w:name="_GoBack"/>
      <w:bookmarkEnd w:id="1"/>
    </w:p>
    <w:sectPr w:rsidR="00595B94" w:rsidSect="00DF2084">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0B"/>
    <w:rsid w:val="00595B94"/>
    <w:rsid w:val="00872D4D"/>
    <w:rsid w:val="00C0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9415-74AA-4BAC-A122-60137037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E0B"/>
    <w:pPr>
      <w:widowControl w:val="0"/>
      <w:autoSpaceDE w:val="0"/>
      <w:autoSpaceDN w:val="0"/>
      <w:jc w:val="left"/>
    </w:pPr>
    <w:rPr>
      <w:rFonts w:eastAsia="Times New Roman" w:cs="Arial"/>
      <w:szCs w:val="20"/>
      <w:lang w:eastAsia="ru-RU"/>
    </w:rPr>
  </w:style>
  <w:style w:type="paragraph" w:customStyle="1" w:styleId="ConsPlusTitle">
    <w:name w:val="ConsPlusTitle"/>
    <w:rsid w:val="00C06E0B"/>
    <w:pPr>
      <w:widowControl w:val="0"/>
      <w:autoSpaceDE w:val="0"/>
      <w:autoSpaceDN w:val="0"/>
      <w:jc w:val="left"/>
    </w:pPr>
    <w:rPr>
      <w:rFonts w:eastAsia="Times New Roman" w:cs="Arial"/>
      <w:b/>
      <w:szCs w:val="20"/>
      <w:lang w:eastAsia="ru-RU"/>
    </w:rPr>
  </w:style>
  <w:style w:type="paragraph" w:customStyle="1" w:styleId="ConsPlusTitlePage">
    <w:name w:val="ConsPlusTitlePage"/>
    <w:rsid w:val="00C06E0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3B56374AE6C6B9BC6F64766036814A78F4AAD3558405E211F02EC7775C6EDB1D0E68AC20433B3A34BI" TargetMode="External"/><Relationship Id="rId13" Type="http://schemas.openxmlformats.org/officeDocument/2006/relationships/hyperlink" Target="consultantplus://offline/ref=0C83B56374AE6C6B9BC6F64766036814A78748AD3C5C405E211F02EC7775C6EDB1D0E68AC20533BBA342I" TargetMode="External"/><Relationship Id="rId3" Type="http://schemas.openxmlformats.org/officeDocument/2006/relationships/webSettings" Target="webSettings.xml"/><Relationship Id="rId7" Type="http://schemas.openxmlformats.org/officeDocument/2006/relationships/hyperlink" Target="consultantplus://offline/ref=0C83B56374AE6C6B9BC6F64766036814A7834EA83A5C405E211F02EC7775C6EDB1D0E68AC20533BAA34BI" TargetMode="External"/><Relationship Id="rId12" Type="http://schemas.openxmlformats.org/officeDocument/2006/relationships/hyperlink" Target="consultantplus://offline/ref=0C83B56374AE6C6B9BC6F64766036814A78142AE3953405E211F02EC77A745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83B56374AE6C6B9BC6F64766036814A78042AF3D5D405E211F02EC7775C6EDB1D0E68AC20533BEA340I" TargetMode="External"/><Relationship Id="rId11" Type="http://schemas.openxmlformats.org/officeDocument/2006/relationships/hyperlink" Target="consultantplus://offline/ref=0C83B56374AE6C6B9BC6F64766036814A78142AE385B405E211F02EC77A745I" TargetMode="External"/><Relationship Id="rId5" Type="http://schemas.openxmlformats.org/officeDocument/2006/relationships/hyperlink" Target="consultantplus://offline/ref=0C83B56374AE6C6B9BC6F64766036814A78E4DA13E5C405E211F02EC7775C6EDB1D0E68AC20533BCA340I" TargetMode="External"/><Relationship Id="rId15" Type="http://schemas.openxmlformats.org/officeDocument/2006/relationships/hyperlink" Target="consultantplus://offline/ref=0C83B56374AE6C6B9BC6F64766036814A78348A83D5A405E211F02EC7775C6EDB1D0E68AC20533BBA340I" TargetMode="External"/><Relationship Id="rId10" Type="http://schemas.openxmlformats.org/officeDocument/2006/relationships/hyperlink" Target="consultantplus://offline/ref=0C83B56374AE6C6B9BC6F64766036814A7834BA03A53405E211F02EC77A74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83B56374AE6C6B9BC6F64766036814A78F4AAD3558405E211F02EC7775C6EDB1D0E68AC20432BAA342I" TargetMode="External"/><Relationship Id="rId14" Type="http://schemas.openxmlformats.org/officeDocument/2006/relationships/hyperlink" Target="consultantplus://offline/ref=0C83B56374AE6C6B9BC6F64766036814A78442AE385E405E211F02EC77A7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3973</Words>
  <Characters>22648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2015-12-24T08:56:00Z</dcterms:created>
  <dcterms:modified xsi:type="dcterms:W3CDTF">2015-12-24T08:56:00Z</dcterms:modified>
</cp:coreProperties>
</file>